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A77" w:rsidRDefault="00DB78E9">
      <w:pPr>
        <w:spacing w:line="540" w:lineRule="exact"/>
        <w:rPr>
          <w:rFonts w:ascii="黑体" w:eastAsia="黑体" w:hAnsi="黑体"/>
          <w:sz w:val="32"/>
          <w:szCs w:val="32"/>
        </w:rPr>
      </w:pPr>
      <w:r>
        <w:rPr>
          <w:rFonts w:ascii="黑体" w:eastAsia="黑体" w:hAnsi="黑体" w:hint="eastAsia"/>
          <w:sz w:val="32"/>
          <w:szCs w:val="32"/>
        </w:rPr>
        <w:t xml:space="preserve">附件1： </w:t>
      </w:r>
    </w:p>
    <w:p w:rsidR="00AE3A77" w:rsidRDefault="00AE3A77">
      <w:pPr>
        <w:spacing w:line="540" w:lineRule="exact"/>
        <w:rPr>
          <w:rFonts w:ascii="方正小标宋_GBK" w:eastAsia="方正小标宋_GBK" w:hAnsi="宋体"/>
          <w:sz w:val="44"/>
          <w:szCs w:val="44"/>
        </w:rPr>
      </w:pPr>
    </w:p>
    <w:p w:rsidR="00AE3A77" w:rsidRDefault="00DB78E9">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2018年度新疆喀什地区英吉沙县依格孜牙乡人民政府（本级）部门决算</w:t>
      </w:r>
    </w:p>
    <w:p w:rsidR="00AE3A77" w:rsidRDefault="00DB78E9">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AE3A77" w:rsidRDefault="00AE3A77">
      <w:pPr>
        <w:spacing w:line="540" w:lineRule="exact"/>
        <w:rPr>
          <w:rFonts w:ascii="仿宋_GB2312" w:eastAsia="仿宋_GB2312" w:hAnsi="宋体"/>
          <w:sz w:val="32"/>
          <w:szCs w:val="32"/>
        </w:rPr>
      </w:pPr>
    </w:p>
    <w:p w:rsidR="00AE3A77" w:rsidRDefault="00DB78E9">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AE3A77" w:rsidRDefault="00AE3A77">
      <w:pPr>
        <w:spacing w:line="540" w:lineRule="exact"/>
        <w:rPr>
          <w:rFonts w:ascii="仿宋_GB2312" w:eastAsia="仿宋_GB2312" w:hAnsi="宋体"/>
          <w:b/>
          <w:kern w:val="0"/>
          <w:sz w:val="32"/>
          <w:szCs w:val="32"/>
        </w:rPr>
      </w:pPr>
    </w:p>
    <w:p w:rsidR="00AE3A77" w:rsidRDefault="00DB78E9">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AE3A77" w:rsidRDefault="00DB78E9">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AE3A77" w:rsidRDefault="00DB78E9">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AE3A77" w:rsidRDefault="00DB78E9">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AE3A77" w:rsidRDefault="00DB78E9">
      <w:pPr>
        <w:spacing w:line="540" w:lineRule="exact"/>
        <w:ind w:firstLineChars="200" w:firstLine="640"/>
        <w:rPr>
          <w:rFonts w:ascii="仿宋_GB2312" w:eastAsia="仿宋_GB2312"/>
          <w:sz w:val="32"/>
          <w:szCs w:val="32"/>
        </w:rPr>
      </w:pPr>
      <w:bookmarkStart w:id="0" w:name="OLE_LINK95"/>
      <w:bookmarkStart w:id="1" w:name="OLE_LINK94"/>
      <w:r>
        <w:rPr>
          <w:rFonts w:ascii="仿宋_GB2312" w:eastAsia="仿宋_GB2312" w:hint="eastAsia"/>
          <w:sz w:val="32"/>
          <w:szCs w:val="32"/>
        </w:rPr>
        <w:t>（一）国有资产占用情况说明</w:t>
      </w:r>
      <w:bookmarkEnd w:id="0"/>
      <w:bookmarkEnd w:id="1"/>
    </w:p>
    <w:p w:rsidR="00AE3A77" w:rsidRDefault="00DB78E9">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AE3A77" w:rsidRDefault="00DB78E9">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AE3A77" w:rsidRDefault="00DB78E9">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AE3A77" w:rsidRDefault="00DB78E9">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AE3A77" w:rsidRDefault="00AE3A77">
      <w:pPr>
        <w:spacing w:line="540" w:lineRule="exact"/>
        <w:ind w:firstLineChars="200" w:firstLine="640"/>
        <w:rPr>
          <w:rFonts w:ascii="黑体" w:eastAsia="黑体" w:hAnsi="黑体"/>
          <w:sz w:val="32"/>
          <w:szCs w:val="32"/>
        </w:rPr>
      </w:pPr>
    </w:p>
    <w:p w:rsidR="00AE3A77" w:rsidRDefault="00DB78E9">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AE3A77" w:rsidRDefault="00DB78E9">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AE3A77" w:rsidRDefault="00DB78E9">
      <w:pPr>
        <w:spacing w:line="500" w:lineRule="exact"/>
        <w:rPr>
          <w:rFonts w:ascii="黑体" w:eastAsia="黑体" w:hAnsi="黑体" w:cs="宋体"/>
          <w:bCs/>
          <w:kern w:val="0"/>
          <w:sz w:val="32"/>
          <w:szCs w:val="32"/>
        </w:rPr>
      </w:pPr>
      <w:r>
        <w:rPr>
          <w:rFonts w:ascii="仿宋_GB2312" w:eastAsia="仿宋_GB2312" w:hint="eastAsia"/>
          <w:sz w:val="32"/>
          <w:szCs w:val="32"/>
        </w:rPr>
        <w:t xml:space="preserve">    1、贯彻执行党的路线、方针、政策和上级党委决定、决议，研究提出本区域发展中的重大问题的意见、建议和决定。</w:t>
      </w:r>
      <w:r>
        <w:rPr>
          <w:rFonts w:ascii="仿宋_GB2312" w:eastAsia="仿宋_GB2312" w:hint="eastAsia"/>
          <w:sz w:val="32"/>
          <w:szCs w:val="32"/>
        </w:rPr>
        <w:br/>
        <w:t xml:space="preserve">    2、执行本级人民代表大会的决议和上级国家行政机关的决定和命令，发布决定和命令。</w:t>
      </w:r>
      <w:r>
        <w:rPr>
          <w:rFonts w:ascii="仿宋_GB2312" w:eastAsia="仿宋_GB2312" w:hint="eastAsia"/>
          <w:sz w:val="32"/>
          <w:szCs w:val="32"/>
        </w:rPr>
        <w:br/>
        <w:t xml:space="preserve">    3、抓好党的思想建设、组织建设、作风建设和廉政建设。</w:t>
      </w:r>
      <w:r>
        <w:rPr>
          <w:rFonts w:ascii="仿宋_GB2312" w:eastAsia="仿宋_GB2312" w:hint="eastAsia"/>
          <w:sz w:val="32"/>
          <w:szCs w:val="32"/>
        </w:rPr>
        <w:br/>
        <w:t xml:space="preserve">    4、管理本乡的经济、教育、科学、文化、卫生、体育事业、民政、计划生育等行政工作。</w:t>
      </w:r>
      <w:r>
        <w:rPr>
          <w:rFonts w:ascii="仿宋_GB2312" w:eastAsia="仿宋_GB2312" w:hint="eastAsia"/>
          <w:sz w:val="32"/>
          <w:szCs w:val="32"/>
        </w:rPr>
        <w:br/>
      </w:r>
      <w:r>
        <w:rPr>
          <w:rFonts w:ascii="仿宋_GB2312" w:eastAsia="仿宋_GB2312" w:hint="eastAsia"/>
          <w:sz w:val="32"/>
          <w:szCs w:val="32"/>
        </w:rPr>
        <w:lastRenderedPageBreak/>
        <w:t xml:space="preserve">    5、维护各种经济组织的合法权益。</w:t>
      </w:r>
      <w:r>
        <w:rPr>
          <w:rFonts w:ascii="仿宋_GB2312" w:eastAsia="仿宋_GB2312" w:hint="eastAsia"/>
          <w:sz w:val="32"/>
          <w:szCs w:val="32"/>
        </w:rPr>
        <w:br/>
        <w:t xml:space="preserve">    6、保障少数民族的权利和尊重少数民族的风俗习。</w:t>
      </w:r>
      <w:r>
        <w:rPr>
          <w:rFonts w:ascii="仿宋_GB2312" w:eastAsia="仿宋_GB2312" w:hint="eastAsia"/>
          <w:sz w:val="32"/>
          <w:szCs w:val="32"/>
        </w:rPr>
        <w:br/>
        <w:t xml:space="preserve">    7、保护群众的财产和劳动群众集体所有的财产，维护社会秩序，保障人身权利、民主权利和其他权利。 </w:t>
      </w:r>
    </w:p>
    <w:p w:rsidR="00AE3A77" w:rsidRDefault="00DB78E9">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AE3A77" w:rsidRDefault="00DB78E9">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新疆喀什地区英吉沙县依格孜牙乡人民政府（本级）</w:t>
      </w:r>
      <w:r>
        <w:rPr>
          <w:rFonts w:ascii="仿宋_GB2312" w:eastAsia="仿宋_GB2312" w:hint="eastAsia"/>
          <w:sz w:val="32"/>
          <w:szCs w:val="32"/>
        </w:rPr>
        <w:t>部门决算包括：</w:t>
      </w:r>
      <w:r>
        <w:rPr>
          <w:rFonts w:ascii="仿宋_GB2312" w:eastAsia="仿宋_GB2312"/>
          <w:sz w:val="32"/>
          <w:szCs w:val="32"/>
        </w:rPr>
        <w:t>新疆喀什地区英吉沙县依格孜牙乡人民政府（本级）</w:t>
      </w:r>
      <w:r>
        <w:rPr>
          <w:rFonts w:ascii="仿宋_GB2312" w:eastAsia="仿宋_GB2312" w:hint="eastAsia"/>
          <w:sz w:val="32"/>
          <w:szCs w:val="32"/>
        </w:rPr>
        <w:t>部门本级决算、所属单位决算等。</w:t>
      </w:r>
    </w:p>
    <w:p w:rsidR="00AE3A77" w:rsidRDefault="00DB78E9">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新疆喀什地区英吉沙县依格孜牙乡人民政府（本级）</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3"/>
    </w:p>
    <w:p w:rsidR="00AE3A77" w:rsidRDefault="00AE3A77">
      <w:pPr>
        <w:spacing w:line="540" w:lineRule="exact"/>
        <w:ind w:firstLineChars="200" w:firstLine="616"/>
        <w:rPr>
          <w:rFonts w:ascii="仿宋_GB2312" w:eastAsia="仿宋_GB2312"/>
          <w:spacing w:val="-6"/>
          <w:sz w:val="32"/>
          <w:szCs w:val="32"/>
        </w:rPr>
      </w:pPr>
    </w:p>
    <w:p w:rsidR="00AE3A77" w:rsidRDefault="00AE3A77">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56"/>
        <w:gridCol w:w="3870"/>
        <w:gridCol w:w="2538"/>
      </w:tblGrid>
      <w:tr w:rsidR="00AE3A77">
        <w:trPr>
          <w:trHeight w:hRule="exact" w:val="510"/>
        </w:trPr>
        <w:tc>
          <w:tcPr>
            <w:tcW w:w="3056" w:type="dxa"/>
            <w:vAlign w:val="center"/>
          </w:tcPr>
          <w:p w:rsidR="00AE3A77" w:rsidRDefault="00DB78E9">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AE3A77" w:rsidRDefault="00DB78E9">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AE3A77" w:rsidRDefault="00DB78E9">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AE3A77">
        <w:tc>
          <w:tcPr>
            <w:tcW w:w="3056" w:type="dxa"/>
          </w:tcPr>
          <w:p w:rsidR="00AE3A77" w:rsidRDefault="00DB78E9">
            <w:pPr>
              <w:spacing w:line="500" w:lineRule="exact"/>
              <w:ind w:firstLineChars="200" w:firstLine="640"/>
              <w:jc w:val="left"/>
            </w:pPr>
            <w:r>
              <w:rPr>
                <w:rFonts w:eastAsia="Times New Roman"/>
                <w:color w:val="000000"/>
                <w:position w:val="-1"/>
                <w:sz w:val="32"/>
              </w:rPr>
              <w:t>1</w:t>
            </w:r>
          </w:p>
        </w:tc>
        <w:tc>
          <w:tcPr>
            <w:tcW w:w="3870" w:type="dxa"/>
          </w:tcPr>
          <w:p w:rsidR="00AE3A77" w:rsidRDefault="00DB78E9">
            <w:pPr>
              <w:spacing w:line="500" w:lineRule="exact"/>
              <w:ind w:firstLineChars="200" w:firstLine="640"/>
              <w:jc w:val="left"/>
            </w:pPr>
            <w:r>
              <w:rPr>
                <w:rFonts w:eastAsia="Times New Roman"/>
                <w:color w:val="000000"/>
                <w:position w:val="-1"/>
                <w:sz w:val="32"/>
              </w:rPr>
              <w:t>新疆喀什地区英吉沙县依格孜牙乡人民政府（本级</w:t>
            </w:r>
          </w:p>
        </w:tc>
        <w:tc>
          <w:tcPr>
            <w:tcW w:w="2538" w:type="dxa"/>
            <w:vAlign w:val="center"/>
          </w:tcPr>
          <w:p w:rsidR="00AE3A77" w:rsidRDefault="00AE3A77">
            <w:pPr>
              <w:spacing w:line="500" w:lineRule="exact"/>
              <w:ind w:firstLineChars="200" w:firstLine="420"/>
              <w:jc w:val="left"/>
            </w:pPr>
          </w:p>
        </w:tc>
      </w:tr>
    </w:tbl>
    <w:p w:rsidR="00AE3A77" w:rsidRDefault="00AE3A77">
      <w:pPr>
        <w:spacing w:line="500" w:lineRule="exact"/>
        <w:rPr>
          <w:rFonts w:ascii="仿宋_GB2312" w:eastAsia="仿宋_GB2312" w:hAnsi="宋体" w:cs="宋体"/>
          <w:kern w:val="0"/>
          <w:sz w:val="32"/>
          <w:szCs w:val="32"/>
        </w:rPr>
      </w:pPr>
    </w:p>
    <w:p w:rsidR="00AE3A77" w:rsidRDefault="00AE3A77">
      <w:pPr>
        <w:spacing w:line="500" w:lineRule="exact"/>
        <w:rPr>
          <w:rFonts w:ascii="仿宋_GB2312" w:eastAsia="仿宋_GB2312" w:hAnsi="宋体" w:cs="宋体"/>
          <w:kern w:val="0"/>
          <w:sz w:val="32"/>
          <w:szCs w:val="32"/>
        </w:rPr>
      </w:pPr>
    </w:p>
    <w:p w:rsidR="00AE3A77" w:rsidRDefault="00DB78E9">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AE3A77" w:rsidRDefault="00DB78E9">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AE3A77" w:rsidRDefault="00DB78E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AE3A77" w:rsidRDefault="00DB78E9">
      <w:pPr>
        <w:spacing w:line="540" w:lineRule="exact"/>
        <w:ind w:firstLineChars="200" w:firstLine="640"/>
        <w:rPr>
          <w:rFonts w:ascii="仿宋_GB2312" w:eastAsia="仿宋_GB2312" w:hAnsi="Calibri"/>
          <w:color w:val="000000" w:themeColor="text1"/>
          <w:sz w:val="32"/>
          <w:szCs w:val="32"/>
          <w:lang w:val="en-GB"/>
        </w:rPr>
      </w:pPr>
      <w:bookmarkStart w:id="4" w:name="OLE_LINK100"/>
      <w:bookmarkStart w:id="5" w:name="OLE_LINK99"/>
      <w:bookmarkStart w:id="6"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1,732.12</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，与上年相比，增加798.02万元，增长85.43%，增加的主要原因是：</w:t>
      </w:r>
      <w:r>
        <w:rPr>
          <w:rFonts w:ascii="仿宋_GB2312" w:eastAsia="仿宋_GB2312" w:hint="eastAsia"/>
          <w:color w:val="000000" w:themeColor="text1"/>
          <w:sz w:val="32"/>
          <w:szCs w:val="32"/>
        </w:rPr>
        <w:t>由于惠农补贴项目增多，补贴收入增加；</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2,122.12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，与上年相比，增加1,578.02万元，</w:t>
      </w:r>
      <w:r>
        <w:rPr>
          <w:rFonts w:ascii="仿宋_GB2312" w:eastAsia="仿宋_GB2312" w:hint="eastAsia"/>
          <w:sz w:val="32"/>
          <w:szCs w:val="32"/>
        </w:rPr>
        <w:lastRenderedPageBreak/>
        <w:t>增长290.02%，增加的主要原因是：</w:t>
      </w:r>
      <w:r>
        <w:rPr>
          <w:rFonts w:ascii="仿宋_GB2312" w:eastAsia="仿宋_GB2312" w:hint="eastAsia"/>
          <w:color w:val="000000" w:themeColor="text1"/>
          <w:sz w:val="32"/>
          <w:szCs w:val="32"/>
        </w:rPr>
        <w:t>由于惠农补贴项目增多，补贴支出增加；</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，与上年相比，减少390万元，下降100%，减少的主要原因是：</w:t>
      </w:r>
      <w:r>
        <w:rPr>
          <w:rFonts w:ascii="仿宋_GB2312" w:eastAsia="仿宋_GB2312"/>
          <w:color w:val="000000" w:themeColor="text1"/>
          <w:sz w:val="32"/>
          <w:szCs w:val="32"/>
        </w:rPr>
        <w:t>本年项目执行到位，年末无结余结转。</w:t>
      </w:r>
      <w:bookmarkEnd w:id="8"/>
    </w:p>
    <w:p w:rsidR="00AE3A77" w:rsidRDefault="00DB78E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AE3A77" w:rsidRDefault="00DB78E9">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1,732.12</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1,622.46</w:t>
      </w:r>
      <w:r>
        <w:rPr>
          <w:rFonts w:ascii="仿宋_GB2312" w:eastAsia="仿宋_GB2312" w:hint="eastAsia"/>
          <w:color w:val="000000" w:themeColor="text1"/>
          <w:sz w:val="32"/>
          <w:szCs w:val="32"/>
        </w:rPr>
        <w:t>万元，占</w:t>
      </w:r>
      <w:r>
        <w:rPr>
          <w:rFonts w:ascii="仿宋_GB2312" w:eastAsia="仿宋_GB2312" w:hint="eastAsia"/>
          <w:sz w:val="32"/>
          <w:szCs w:val="32"/>
        </w:rPr>
        <w:t>93.67%</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109.67</w:t>
      </w:r>
      <w:r>
        <w:rPr>
          <w:rFonts w:ascii="仿宋_GB2312" w:eastAsia="仿宋_GB2312" w:hint="eastAsia"/>
          <w:color w:val="000000" w:themeColor="text1"/>
          <w:sz w:val="32"/>
          <w:szCs w:val="32"/>
        </w:rPr>
        <w:t>万元，占</w:t>
      </w:r>
      <w:r>
        <w:rPr>
          <w:rFonts w:ascii="仿宋_GB2312" w:eastAsia="仿宋_GB2312" w:hint="eastAsia"/>
          <w:sz w:val="32"/>
          <w:szCs w:val="32"/>
        </w:rPr>
        <w:t>6.33%</w:t>
      </w:r>
      <w:r>
        <w:rPr>
          <w:rFonts w:ascii="仿宋_GB2312" w:eastAsia="仿宋_GB2312" w:hint="eastAsia"/>
          <w:color w:val="000000" w:themeColor="text1"/>
          <w:sz w:val="32"/>
          <w:szCs w:val="32"/>
        </w:rPr>
        <w:t>。</w:t>
      </w:r>
    </w:p>
    <w:p w:rsidR="00AE3A77" w:rsidRDefault="00DB78E9">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况：本年收入年初预算数678.8万元</w:t>
      </w:r>
      <w:r>
        <w:rPr>
          <w:rFonts w:ascii="仿宋_GB2312" w:eastAsia="仿宋_GB2312" w:hint="eastAsia"/>
          <w:sz w:val="32"/>
          <w:szCs w:val="32"/>
        </w:rPr>
        <w:t>，决算数1,732.12万元</w:t>
      </w:r>
      <w:r>
        <w:rPr>
          <w:rFonts w:ascii="仿宋_GB2312" w:eastAsia="仿宋_GB2312"/>
          <w:sz w:val="32"/>
          <w:szCs w:val="32"/>
        </w:rPr>
        <w:t>，预决算差异率155.17%，差异主要原因是由于惠农补贴项目增多，补贴收入增加。</w:t>
      </w:r>
      <w:bookmarkEnd w:id="15"/>
    </w:p>
    <w:p w:rsidR="00AE3A77" w:rsidRDefault="00DB78E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AE3A77" w:rsidRDefault="00DB78E9">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2,122.12</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820.18</w:t>
      </w:r>
      <w:r>
        <w:rPr>
          <w:rFonts w:ascii="仿宋_GB2312" w:eastAsia="仿宋_GB2312" w:hint="eastAsia"/>
          <w:color w:val="000000" w:themeColor="text1"/>
          <w:sz w:val="32"/>
          <w:szCs w:val="32"/>
        </w:rPr>
        <w:t>万元，占</w:t>
      </w:r>
      <w:r>
        <w:rPr>
          <w:rFonts w:ascii="仿宋_GB2312" w:eastAsia="仿宋_GB2312" w:hint="eastAsia"/>
          <w:sz w:val="32"/>
          <w:szCs w:val="32"/>
        </w:rPr>
        <w:t>38.65%</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1,301.94</w:t>
      </w:r>
      <w:r>
        <w:rPr>
          <w:rFonts w:ascii="仿宋_GB2312" w:eastAsia="仿宋_GB2312" w:hint="eastAsia"/>
          <w:color w:val="000000" w:themeColor="text1"/>
          <w:sz w:val="32"/>
          <w:szCs w:val="32"/>
        </w:rPr>
        <w:t>万元，占</w:t>
      </w:r>
      <w:r>
        <w:rPr>
          <w:rFonts w:ascii="仿宋_GB2312" w:eastAsia="仿宋_GB2312" w:hint="eastAsia"/>
          <w:sz w:val="32"/>
          <w:szCs w:val="32"/>
        </w:rPr>
        <w:t>61.35%</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AE3A77" w:rsidRDefault="00DB78E9">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t>与年初预算数相比情况：本年支出年初预算数678.8万元，</w:t>
      </w:r>
      <w:r>
        <w:rPr>
          <w:rFonts w:ascii="仿宋_GB2312" w:eastAsia="仿宋_GB2312" w:hint="eastAsia"/>
          <w:sz w:val="32"/>
          <w:szCs w:val="32"/>
        </w:rPr>
        <w:t>决算数2,122.12万元</w:t>
      </w:r>
      <w:r>
        <w:rPr>
          <w:rFonts w:ascii="仿宋_GB2312" w:eastAsia="仿宋_GB2312"/>
          <w:sz w:val="32"/>
          <w:szCs w:val="32"/>
        </w:rPr>
        <w:t>，预决算差异率212.63%，差异主要原因是由于惠农补贴项目增多，补贴支出增加。</w:t>
      </w:r>
    </w:p>
    <w:bookmarkEnd w:id="22"/>
    <w:p w:rsidR="00AE3A77" w:rsidRDefault="00DB78E9">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AE3A77" w:rsidRDefault="00DB78E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AE3A77" w:rsidRDefault="00DB78E9">
      <w:pPr>
        <w:spacing w:line="540" w:lineRule="exact"/>
        <w:ind w:firstLineChars="200" w:firstLine="640"/>
        <w:rPr>
          <w:rFonts w:ascii="仿宋_GB2312" w:eastAsia="仿宋_GB2312"/>
          <w:color w:val="000000" w:themeColor="text1"/>
          <w:sz w:val="32"/>
          <w:szCs w:val="32"/>
        </w:rPr>
      </w:pPr>
      <w:bookmarkStart w:id="23" w:name="OLE_LINK58"/>
      <w:bookmarkStart w:id="24" w:name="OLE_LINK57"/>
      <w:r>
        <w:rPr>
          <w:rFonts w:ascii="仿宋_GB2312" w:eastAsia="仿宋_GB2312" w:hint="eastAsia"/>
          <w:color w:val="000000" w:themeColor="text1"/>
          <w:sz w:val="32"/>
          <w:szCs w:val="32"/>
        </w:rPr>
        <w:t>2018年度</w:t>
      </w:r>
      <w:bookmarkStart w:id="25" w:name="OLE_LINK13"/>
      <w:r>
        <w:rPr>
          <w:rFonts w:ascii="仿宋_GB2312" w:eastAsia="仿宋_GB2312" w:hint="eastAsia"/>
          <w:color w:val="000000" w:themeColor="text1"/>
          <w:sz w:val="32"/>
          <w:szCs w:val="32"/>
        </w:rPr>
        <w:t>财政拨款收入</w:t>
      </w:r>
      <w:bookmarkEnd w:id="25"/>
      <w:r>
        <w:rPr>
          <w:rFonts w:ascii="仿宋_GB2312" w:eastAsia="仿宋_GB2312" w:hint="eastAsia"/>
          <w:sz w:val="32"/>
          <w:szCs w:val="32"/>
        </w:rPr>
        <w:t>1,622.46</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，与上年相比，增加1,078.36万元，增长198.19%，增加的主要原因是：由于惠农补贴</w:t>
      </w:r>
      <w:r>
        <w:rPr>
          <w:rFonts w:ascii="仿宋_GB2312" w:eastAsia="仿宋_GB2312" w:hint="eastAsia"/>
          <w:sz w:val="32"/>
          <w:szCs w:val="32"/>
        </w:rPr>
        <w:lastRenderedPageBreak/>
        <w:t>项目增多，补贴收入增加。</w:t>
      </w:r>
      <w:bookmarkStart w:id="26" w:name="OLE_LINK14"/>
      <w:bookmarkStart w:id="27" w:name="OLE_LINK59"/>
      <w:bookmarkStart w:id="28" w:name="OLE_LINK60"/>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1,622.46</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，与上年相比，增加1,078.36万元，增长198.19%，增加的主要原因是：</w:t>
      </w:r>
      <w:r>
        <w:rPr>
          <w:rFonts w:ascii="仿宋_GB2312" w:eastAsia="仿宋_GB2312"/>
          <w:sz w:val="32"/>
          <w:szCs w:val="32"/>
        </w:rPr>
        <w:t>由于惠农补贴项目增多，补贴支出增加。</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780.94</w:t>
      </w:r>
      <w:r>
        <w:rPr>
          <w:rFonts w:ascii="仿宋_GB2312" w:eastAsia="仿宋_GB2312" w:hint="eastAsia"/>
          <w:color w:val="000000" w:themeColor="text1"/>
          <w:sz w:val="32"/>
          <w:szCs w:val="32"/>
        </w:rPr>
        <w:t>万元，项目支出</w:t>
      </w:r>
      <w:r>
        <w:rPr>
          <w:rFonts w:ascii="仿宋_GB2312" w:eastAsia="仿宋_GB2312" w:hint="eastAsia"/>
          <w:sz w:val="32"/>
          <w:szCs w:val="32"/>
        </w:rPr>
        <w:t>841.52</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w:t>
      </w:r>
      <w:r w:rsidR="00E53325">
        <w:rPr>
          <w:rFonts w:ascii="仿宋_GB2312" w:eastAsia="仿宋_GB2312" w:hint="eastAsia"/>
          <w:sz w:val="32"/>
          <w:szCs w:val="32"/>
        </w:rPr>
        <w:t>比，增加0万元，增长0%</w:t>
      </w:r>
      <w:r>
        <w:rPr>
          <w:rFonts w:ascii="仿宋_GB2312" w:eastAsia="仿宋_GB2312" w:hint="eastAsia"/>
          <w:sz w:val="32"/>
          <w:szCs w:val="32"/>
        </w:rPr>
        <w:t>，主要原因是：项目执行到位，年末无结余结转。</w:t>
      </w:r>
      <w:bookmarkEnd w:id="29"/>
    </w:p>
    <w:p w:rsidR="00AE3A77" w:rsidRDefault="00DB78E9">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678.8</w:t>
      </w:r>
      <w:r>
        <w:rPr>
          <w:rFonts w:ascii="仿宋_GB2312" w:eastAsia="仿宋_GB2312" w:hint="eastAsia"/>
          <w:color w:val="000000" w:themeColor="text1"/>
          <w:sz w:val="32"/>
          <w:szCs w:val="32"/>
        </w:rPr>
        <w:t>万元，决算数</w:t>
      </w:r>
      <w:r>
        <w:rPr>
          <w:rFonts w:ascii="仿宋_GB2312" w:eastAsia="仿宋_GB2312" w:hint="eastAsia"/>
          <w:sz w:val="32"/>
          <w:szCs w:val="32"/>
        </w:rPr>
        <w:t>1,622.46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，预决算差异率139.02%，差异主要原因是由于惠农补贴项目增多，补贴收入增加。</w:t>
      </w:r>
      <w:bookmarkStart w:id="33"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678.8</w:t>
      </w:r>
      <w:r>
        <w:rPr>
          <w:rFonts w:ascii="仿宋_GB2312" w:eastAsia="仿宋_GB2312" w:hint="eastAsia"/>
          <w:color w:val="000000" w:themeColor="text1"/>
          <w:sz w:val="32"/>
          <w:szCs w:val="32"/>
        </w:rPr>
        <w:t>万元，决算数</w:t>
      </w:r>
      <w:r>
        <w:rPr>
          <w:rFonts w:ascii="仿宋_GB2312" w:eastAsia="仿宋_GB2312" w:hint="eastAsia"/>
          <w:sz w:val="32"/>
          <w:szCs w:val="32"/>
        </w:rPr>
        <w:t>1,622.46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，预决算差异率139.02%，差异主要原因是由于惠农补贴项目增多，补贴支出增加。</w:t>
      </w:r>
      <w:bookmarkEnd w:id="33"/>
    </w:p>
    <w:p w:rsidR="00AE3A77" w:rsidRDefault="00DB78E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AE3A77" w:rsidRDefault="00DB78E9">
      <w:pPr>
        <w:spacing w:line="540" w:lineRule="exact"/>
        <w:ind w:firstLineChars="200" w:firstLine="640"/>
        <w:rPr>
          <w:rFonts w:ascii="仿宋_GB2312" w:eastAsia="仿宋_GB2312"/>
          <w:color w:val="000000" w:themeColor="text1"/>
          <w:sz w:val="32"/>
          <w:szCs w:val="32"/>
        </w:rPr>
      </w:pPr>
      <w:bookmarkStart w:id="34" w:name="OLE_LINK64"/>
      <w:r>
        <w:rPr>
          <w:rFonts w:ascii="仿宋_GB2312" w:eastAsia="仿宋_GB2312" w:hint="eastAsia"/>
          <w:color w:val="000000" w:themeColor="text1"/>
          <w:sz w:val="32"/>
          <w:szCs w:val="32"/>
        </w:rPr>
        <w:t>2018年度</w:t>
      </w:r>
      <w:bookmarkStart w:id="35" w:name="OLE_LINK17"/>
      <w:r>
        <w:rPr>
          <w:rFonts w:ascii="仿宋_GB2312" w:eastAsia="仿宋_GB2312" w:hint="eastAsia"/>
          <w:color w:val="000000" w:themeColor="text1"/>
          <w:sz w:val="32"/>
          <w:szCs w:val="32"/>
        </w:rPr>
        <w:t>一般公共预算财政拨款收入</w:t>
      </w:r>
      <w:bookmarkEnd w:id="35"/>
      <w:r>
        <w:rPr>
          <w:rFonts w:ascii="仿宋_GB2312" w:eastAsia="仿宋_GB2312"/>
          <w:color w:val="000000" w:themeColor="text1"/>
          <w:sz w:val="32"/>
          <w:szCs w:val="32"/>
        </w:rPr>
        <w:t>1,622.46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，与上年相比，增加1,078.36万元，增长198.19%，增加的主要原因是：由于惠农补贴项目增多，补贴收入增加。</w:t>
      </w:r>
      <w:bookmarkStart w:id="36" w:name="OLE_LINK18"/>
      <w:bookmarkStart w:id="37" w:name="OLE_LINK65"/>
      <w:bookmarkEnd w:id="34"/>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1,622.46</w:t>
      </w:r>
      <w:r>
        <w:rPr>
          <w:rFonts w:ascii="仿宋_GB2312" w:eastAsia="仿宋_GB2312" w:hint="eastAsia"/>
          <w:color w:val="000000" w:themeColor="text1"/>
          <w:sz w:val="32"/>
          <w:szCs w:val="32"/>
        </w:rPr>
        <w:t>万元</w:t>
      </w:r>
      <w:bookmarkEnd w:id="36"/>
      <w:r>
        <w:rPr>
          <w:rFonts w:ascii="仿宋_GB2312" w:eastAsia="仿宋_GB2312" w:hint="eastAsia"/>
          <w:sz w:val="32"/>
          <w:szCs w:val="32"/>
        </w:rPr>
        <w:t>，与上年相比，增加1,078.36万元，增长198.19%，增加的主要原因是：由于惠农补贴项目增多，补贴支出增加。</w:t>
      </w:r>
      <w:bookmarkEnd w:id="37"/>
      <w:r>
        <w:rPr>
          <w:rFonts w:ascii="仿宋_GB2312" w:eastAsia="仿宋_GB2312" w:hint="eastAsia"/>
          <w:color w:val="000000" w:themeColor="text1"/>
          <w:sz w:val="32"/>
          <w:szCs w:val="32"/>
        </w:rPr>
        <w:t>其中：</w:t>
      </w:r>
      <w:bookmarkStart w:id="38" w:name="OLE_LINK19"/>
      <w:r>
        <w:rPr>
          <w:rFonts w:ascii="仿宋_GB2312" w:eastAsia="仿宋_GB2312" w:hint="eastAsia"/>
          <w:color w:val="000000" w:themeColor="text1"/>
          <w:sz w:val="32"/>
          <w:szCs w:val="32"/>
        </w:rPr>
        <w:t>按功能分类科目（按类级科目公开）</w:t>
      </w:r>
      <w:bookmarkEnd w:id="38"/>
      <w:r>
        <w:rPr>
          <w:rFonts w:ascii="仿宋_GB2312" w:eastAsia="仿宋_GB2312" w:hint="eastAsia"/>
          <w:color w:val="000000" w:themeColor="text1"/>
          <w:sz w:val="32"/>
          <w:szCs w:val="32"/>
        </w:rPr>
        <w:t>，</w:t>
      </w:r>
      <w:r>
        <w:rPr>
          <w:rFonts w:ascii="仿宋_GB2312" w:eastAsia="仿宋_GB2312" w:hint="eastAsia"/>
          <w:sz w:val="32"/>
          <w:szCs w:val="32"/>
        </w:rPr>
        <w:t>国土海洋气象等支出8.6万元,住房保障支出115.45万元,一般公共服务支出615.01万元,农林水支出632.81万元,公共安全支出72.01万元,文化体育与传媒支出24.18万元,其他支出57.82万元,社会保障和就业支出96.57万元。</w:t>
      </w:r>
      <w:bookmarkStart w:id="39" w:name="OLE_LINK20"/>
      <w:bookmarkStart w:id="40" w:name="OLE_LINK21"/>
      <w:r>
        <w:rPr>
          <w:rFonts w:ascii="仿宋_GB2312" w:eastAsia="仿宋_GB2312" w:hint="eastAsia"/>
          <w:color w:val="000000" w:themeColor="text1"/>
          <w:sz w:val="32"/>
          <w:szCs w:val="32"/>
        </w:rPr>
        <w:t>按经济分类科目</w:t>
      </w:r>
      <w:bookmarkEnd w:id="39"/>
      <w:r>
        <w:rPr>
          <w:rFonts w:ascii="仿宋_GB2312" w:eastAsia="仿宋_GB2312" w:hint="eastAsia"/>
          <w:color w:val="000000" w:themeColor="text1"/>
          <w:sz w:val="32"/>
          <w:szCs w:val="32"/>
        </w:rPr>
        <w:t>（按类级科目公开）</w:t>
      </w:r>
      <w:bookmarkEnd w:id="40"/>
      <w:r>
        <w:rPr>
          <w:rFonts w:ascii="仿宋_GB2312" w:eastAsia="仿宋_GB2312" w:hint="eastAsia"/>
          <w:color w:val="000000" w:themeColor="text1"/>
          <w:sz w:val="32"/>
          <w:szCs w:val="32"/>
        </w:rPr>
        <w:t>，</w:t>
      </w:r>
      <w:r>
        <w:rPr>
          <w:rFonts w:ascii="仿宋_GB2312" w:eastAsia="仿宋_GB2312" w:hint="eastAsia"/>
          <w:sz w:val="32"/>
          <w:szCs w:val="32"/>
        </w:rPr>
        <w:t>工资福利支出647.45万元,商品和服务支出113.47万元,对个人和家庭的补助861.53万元。</w:t>
      </w:r>
    </w:p>
    <w:p w:rsidR="00AE3A77" w:rsidRDefault="00DB78E9">
      <w:pPr>
        <w:spacing w:line="540" w:lineRule="exact"/>
        <w:ind w:firstLineChars="200" w:firstLine="640"/>
        <w:rPr>
          <w:rFonts w:ascii="仿宋_GB2312" w:eastAsia="仿宋_GB2312"/>
          <w:color w:val="000000" w:themeColor="text1"/>
          <w:sz w:val="32"/>
          <w:szCs w:val="32"/>
        </w:rPr>
      </w:pPr>
      <w:bookmarkStart w:id="41" w:name="OLE_LINK67"/>
      <w:bookmarkStart w:id="42" w:name="OLE_LINK66"/>
      <w:r>
        <w:rPr>
          <w:rFonts w:ascii="仿宋_GB2312" w:eastAsia="仿宋_GB2312" w:hint="eastAsia"/>
          <w:color w:val="000000" w:themeColor="text1"/>
          <w:sz w:val="32"/>
          <w:szCs w:val="32"/>
        </w:rPr>
        <w:t>与年初预算数相比情况：一般公共预算财政拨款收入年初预算</w:t>
      </w:r>
      <w:r>
        <w:rPr>
          <w:rFonts w:ascii="仿宋_GB2312" w:eastAsia="仿宋_GB2312" w:hint="eastAsia"/>
          <w:color w:val="000000" w:themeColor="text1"/>
          <w:sz w:val="32"/>
          <w:szCs w:val="32"/>
        </w:rPr>
        <w:lastRenderedPageBreak/>
        <w:t>数</w:t>
      </w:r>
      <w:r>
        <w:rPr>
          <w:rFonts w:ascii="仿宋_GB2312" w:eastAsia="仿宋_GB2312"/>
          <w:color w:val="000000" w:themeColor="text1"/>
          <w:sz w:val="32"/>
          <w:szCs w:val="32"/>
        </w:rPr>
        <w:t>678.8</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1,622.46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，预决算差异率139.02%，差异主要原因是由于惠农补贴项目增多，补贴收入增加。</w:t>
      </w:r>
      <w:bookmarkStart w:id="43" w:name="OLE_LINK68"/>
      <w:bookmarkEnd w:id="41"/>
      <w:bookmarkEnd w:id="42"/>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678.8</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1,622.46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，预决算差异率139.02%，差异主要原因是由于惠农补贴项目增多，补贴支出增加。</w:t>
      </w:r>
      <w:bookmarkEnd w:id="43"/>
    </w:p>
    <w:p w:rsidR="00AE3A77" w:rsidRDefault="00DB78E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AE3A77" w:rsidRDefault="00DB78E9">
      <w:pPr>
        <w:spacing w:line="540" w:lineRule="exact"/>
        <w:ind w:firstLineChars="200" w:firstLine="640"/>
        <w:rPr>
          <w:rFonts w:ascii="仿宋_GB2312" w:eastAsia="仿宋_GB2312"/>
          <w:color w:val="000000" w:themeColor="text1"/>
          <w:sz w:val="32"/>
          <w:szCs w:val="32"/>
        </w:rPr>
      </w:pPr>
      <w:bookmarkStart w:id="44" w:name="OLE_LINK69"/>
      <w:r>
        <w:rPr>
          <w:rFonts w:ascii="仿宋_GB2312" w:eastAsia="仿宋_GB2312" w:hint="eastAsia"/>
          <w:color w:val="000000" w:themeColor="text1"/>
          <w:sz w:val="32"/>
          <w:szCs w:val="32"/>
        </w:rPr>
        <w:t>2018年度</w:t>
      </w:r>
      <w:bookmarkStart w:id="45" w:name="OLE_LINK22"/>
      <w:r>
        <w:rPr>
          <w:rFonts w:ascii="仿宋_GB2312" w:eastAsia="仿宋_GB2312" w:hint="eastAsia"/>
          <w:color w:val="000000" w:themeColor="text1"/>
          <w:sz w:val="32"/>
          <w:szCs w:val="32"/>
        </w:rPr>
        <w:t>政府性基金预算财政拨款收入</w:t>
      </w:r>
      <w:bookmarkEnd w:id="4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w:t>
      </w:r>
      <w:r w:rsidR="00E53325">
        <w:rPr>
          <w:rFonts w:ascii="仿宋_GB2312" w:eastAsia="仿宋_GB2312" w:hint="eastAsia"/>
          <w:sz w:val="32"/>
          <w:szCs w:val="32"/>
        </w:rPr>
        <w:t>比，增加0万元，增长0%</w:t>
      </w:r>
      <w:r>
        <w:rPr>
          <w:rFonts w:ascii="仿宋_GB2312" w:eastAsia="仿宋_GB2312" w:hint="eastAsia"/>
          <w:sz w:val="32"/>
          <w:szCs w:val="32"/>
        </w:rPr>
        <w:t>，主要原因是：无政府性基金收支。</w:t>
      </w:r>
      <w:bookmarkStart w:id="46" w:name="OLE_LINK23"/>
      <w:bookmarkStart w:id="47" w:name="OLE_LINK70"/>
      <w:bookmarkEnd w:id="44"/>
      <w:r>
        <w:rPr>
          <w:rFonts w:ascii="仿宋_GB2312" w:eastAsia="仿宋_GB2312" w:hint="eastAsia"/>
          <w:color w:val="000000" w:themeColor="text1"/>
          <w:sz w:val="32"/>
          <w:szCs w:val="32"/>
        </w:rPr>
        <w:t>政府性基金预算支出</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w:t>
      </w:r>
      <w:r w:rsidR="00E53325">
        <w:rPr>
          <w:rFonts w:ascii="仿宋_GB2312" w:eastAsia="仿宋_GB2312" w:hint="eastAsia"/>
          <w:sz w:val="32"/>
          <w:szCs w:val="32"/>
        </w:rPr>
        <w:t>比，增加0万元，增长0%</w:t>
      </w:r>
      <w:r>
        <w:rPr>
          <w:rFonts w:ascii="仿宋_GB2312" w:eastAsia="仿宋_GB2312" w:hint="eastAsia"/>
          <w:sz w:val="32"/>
          <w:szCs w:val="32"/>
        </w:rPr>
        <w:t>，主要原因是：无政府性基金收支。</w:t>
      </w:r>
      <w:bookmarkEnd w:id="47"/>
      <w:r>
        <w:rPr>
          <w:rFonts w:ascii="仿宋_GB2312" w:eastAsia="仿宋_GB2312" w:hint="eastAsia"/>
          <w:color w:val="000000" w:themeColor="text1"/>
          <w:sz w:val="32"/>
          <w:szCs w:val="32"/>
        </w:rPr>
        <w:t>其中：</w:t>
      </w:r>
      <w:bookmarkStart w:id="48" w:name="OLE_LINK24"/>
      <w:r>
        <w:rPr>
          <w:rFonts w:ascii="仿宋_GB2312" w:eastAsia="仿宋_GB2312" w:hint="eastAsia"/>
          <w:color w:val="000000" w:themeColor="text1"/>
          <w:sz w:val="32"/>
          <w:szCs w:val="32"/>
        </w:rPr>
        <w:t>按功能分类科目（按类级科目公开）</w:t>
      </w:r>
      <w:bookmarkEnd w:id="48"/>
      <w:r>
        <w:rPr>
          <w:rFonts w:ascii="仿宋_GB2312" w:eastAsia="仿宋_GB2312" w:hint="eastAsia"/>
          <w:color w:val="000000" w:themeColor="text1"/>
          <w:sz w:val="32"/>
          <w:szCs w:val="32"/>
        </w:rPr>
        <w:t>，</w:t>
      </w:r>
      <w:r>
        <w:rPr>
          <w:rFonts w:ascii="仿宋_GB2312" w:eastAsia="仿宋_GB2312" w:hint="eastAsia"/>
          <w:sz w:val="32"/>
          <w:szCs w:val="32"/>
        </w:rPr>
        <w:t>无政府性基金收支</w:t>
      </w:r>
      <w:r>
        <w:rPr>
          <w:rFonts w:ascii="仿宋_GB2312" w:eastAsia="仿宋_GB2312" w:hint="eastAsia"/>
          <w:color w:val="000000" w:themeColor="text1"/>
          <w:sz w:val="32"/>
          <w:szCs w:val="32"/>
        </w:rPr>
        <w:t>。按经济分类科目（按类级科目公开），</w:t>
      </w:r>
      <w:r>
        <w:rPr>
          <w:rFonts w:ascii="仿宋_GB2312" w:eastAsia="仿宋_GB2312" w:hint="eastAsia"/>
          <w:sz w:val="32"/>
          <w:szCs w:val="32"/>
        </w:rPr>
        <w:t>无政府性基金收支</w:t>
      </w:r>
      <w:r>
        <w:rPr>
          <w:rFonts w:ascii="仿宋_GB2312" w:eastAsia="仿宋_GB2312" w:hint="eastAsia"/>
          <w:color w:val="000000" w:themeColor="text1"/>
          <w:sz w:val="32"/>
          <w:szCs w:val="32"/>
        </w:rPr>
        <w:t>。</w:t>
      </w:r>
    </w:p>
    <w:p w:rsidR="00AE3A77" w:rsidRDefault="00DB78E9">
      <w:pPr>
        <w:spacing w:line="540" w:lineRule="exact"/>
        <w:ind w:firstLineChars="200" w:firstLine="640"/>
        <w:rPr>
          <w:rFonts w:ascii="仿宋_GB2312" w:eastAsia="仿宋_GB2312"/>
          <w:color w:val="000000" w:themeColor="text1"/>
          <w:sz w:val="32"/>
          <w:szCs w:val="32"/>
        </w:rPr>
      </w:pPr>
      <w:bookmarkStart w:id="49" w:name="OLE_LINK72"/>
      <w:bookmarkStart w:id="50" w:name="OLE_LINK71"/>
      <w:r>
        <w:rPr>
          <w:rFonts w:ascii="仿宋_GB2312" w:eastAsia="仿宋_GB2312" w:hint="eastAsia"/>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w:t>
      </w:r>
      <w:r>
        <w:rPr>
          <w:rFonts w:ascii="仿宋_GB2312" w:eastAsia="仿宋_GB2312" w:hint="eastAsia"/>
          <w:sz w:val="32"/>
          <w:szCs w:val="32"/>
        </w:rPr>
        <w:t>无政府性基金收支</w:t>
      </w:r>
      <w:r>
        <w:rPr>
          <w:rFonts w:ascii="仿宋_GB2312" w:eastAsia="仿宋_GB2312"/>
          <w:color w:val="000000" w:themeColor="text1"/>
          <w:sz w:val="32"/>
          <w:szCs w:val="32"/>
        </w:rPr>
        <w:t>。</w:t>
      </w:r>
      <w:bookmarkStart w:id="51" w:name="OLE_LINK73"/>
      <w:bookmarkEnd w:id="49"/>
      <w:bookmarkEnd w:id="50"/>
      <w:r>
        <w:rPr>
          <w:rFonts w:ascii="仿宋_GB2312" w:eastAsia="仿宋_GB2312" w:hint="eastAsia"/>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w:t>
      </w:r>
      <w:r>
        <w:rPr>
          <w:rFonts w:ascii="仿宋_GB2312" w:eastAsia="仿宋_GB2312" w:hint="eastAsia"/>
          <w:sz w:val="32"/>
          <w:szCs w:val="32"/>
        </w:rPr>
        <w:t>无政府性基金收支</w:t>
      </w:r>
      <w:r>
        <w:rPr>
          <w:rFonts w:ascii="仿宋_GB2312" w:eastAsia="仿宋_GB2312"/>
          <w:color w:val="000000" w:themeColor="text1"/>
          <w:sz w:val="32"/>
          <w:szCs w:val="32"/>
        </w:rPr>
        <w:t>。</w:t>
      </w:r>
      <w:bookmarkEnd w:id="51"/>
    </w:p>
    <w:p w:rsidR="00AE3A77" w:rsidRDefault="00DB78E9">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AE3A77" w:rsidRDefault="00DB78E9">
      <w:pPr>
        <w:spacing w:line="540" w:lineRule="exact"/>
        <w:ind w:firstLineChars="200" w:firstLine="640"/>
        <w:rPr>
          <w:rFonts w:ascii="仿宋_GB2312" w:eastAsia="仿宋_GB2312"/>
          <w:color w:val="000000" w:themeColor="text1"/>
          <w:sz w:val="32"/>
          <w:szCs w:val="32"/>
        </w:rPr>
      </w:pPr>
      <w:bookmarkStart w:id="52" w:name="OLE_LINK26"/>
      <w:bookmarkStart w:id="53" w:name="OLE_LINK25"/>
      <w:r>
        <w:rPr>
          <w:rFonts w:ascii="仿宋_GB2312" w:eastAsia="仿宋_GB2312" w:hint="eastAsia"/>
          <w:color w:val="000000" w:themeColor="text1"/>
          <w:sz w:val="32"/>
          <w:szCs w:val="32"/>
        </w:rPr>
        <w:t>年末结转结余</w:t>
      </w:r>
      <w:bookmarkEnd w:id="52"/>
      <w:bookmarkEnd w:id="53"/>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。与上年相比，减少390万元，下降100%</w:t>
      </w:r>
      <w:r>
        <w:rPr>
          <w:rFonts w:ascii="仿宋_GB2312" w:eastAsia="仿宋_GB2312" w:hint="eastAsia"/>
          <w:color w:val="000000" w:themeColor="text1"/>
          <w:sz w:val="32"/>
          <w:szCs w:val="32"/>
        </w:rPr>
        <w:t>。</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4" w:name="OLE_LINK27"/>
      <w:bookmarkStart w:id="55" w:name="OLE_LINK28"/>
      <w:r>
        <w:rPr>
          <w:rFonts w:ascii="仿宋_GB2312" w:eastAsia="仿宋_GB2312" w:hint="eastAsia"/>
          <w:color w:val="000000" w:themeColor="text1"/>
          <w:sz w:val="32"/>
          <w:szCs w:val="32"/>
        </w:rPr>
        <w:t>财政拨款结转结余</w:t>
      </w:r>
      <w:bookmarkEnd w:id="54"/>
      <w:bookmarkEnd w:id="5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w:t>
      </w:r>
      <w:r w:rsidR="00E53325">
        <w:rPr>
          <w:rFonts w:ascii="仿宋_GB2312" w:eastAsia="仿宋_GB2312" w:hint="eastAsia"/>
          <w:sz w:val="32"/>
          <w:szCs w:val="32"/>
        </w:rPr>
        <w:t>比，增加0万元，增长0%</w:t>
      </w:r>
      <w:r>
        <w:rPr>
          <w:rFonts w:ascii="仿宋_GB2312" w:eastAsia="仿宋_GB2312" w:hint="eastAsia"/>
          <w:sz w:val="32"/>
          <w:szCs w:val="32"/>
        </w:rPr>
        <w:t>。</w:t>
      </w:r>
    </w:p>
    <w:p w:rsidR="00AE3A77" w:rsidRDefault="00DB78E9">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AE3A77" w:rsidRDefault="00DB78E9">
      <w:pPr>
        <w:spacing w:line="540" w:lineRule="exact"/>
        <w:ind w:firstLineChars="200" w:firstLine="640"/>
        <w:rPr>
          <w:rFonts w:ascii="仿宋_GB2312" w:eastAsia="仿宋_GB2312"/>
          <w:color w:val="000000" w:themeColor="text1"/>
          <w:sz w:val="32"/>
          <w:szCs w:val="32"/>
        </w:rPr>
      </w:pPr>
      <w:bookmarkStart w:id="56" w:name="OLE_LINK74"/>
      <w:r>
        <w:rPr>
          <w:rFonts w:ascii="仿宋_GB2312" w:eastAsia="仿宋_GB2312" w:hint="eastAsia"/>
          <w:color w:val="000000" w:themeColor="text1"/>
          <w:sz w:val="32"/>
          <w:szCs w:val="32"/>
        </w:rPr>
        <w:t>2018年度</w:t>
      </w:r>
      <w:bookmarkStart w:id="57" w:name="OLE_LINK29"/>
      <w:r>
        <w:rPr>
          <w:rFonts w:ascii="仿宋_GB2312" w:eastAsia="仿宋_GB2312" w:hint="eastAsia"/>
          <w:color w:val="000000" w:themeColor="text1"/>
          <w:sz w:val="32"/>
          <w:szCs w:val="32"/>
        </w:rPr>
        <w:t>一般公共预算“三公”经费支出决算</w:t>
      </w:r>
      <w:bookmarkEnd w:id="57"/>
      <w:r>
        <w:rPr>
          <w:rFonts w:ascii="仿宋_GB2312" w:eastAsia="仿宋_GB2312" w:hint="eastAsia"/>
          <w:sz w:val="32"/>
          <w:szCs w:val="32"/>
        </w:rPr>
        <w:t>2.38</w:t>
      </w:r>
      <w:r>
        <w:rPr>
          <w:rFonts w:ascii="仿宋_GB2312" w:eastAsia="仿宋_GB2312" w:hint="eastAsia"/>
          <w:color w:val="000000" w:themeColor="text1"/>
          <w:sz w:val="32"/>
          <w:szCs w:val="32"/>
        </w:rPr>
        <w:t>万元</w:t>
      </w:r>
      <w:r>
        <w:rPr>
          <w:rFonts w:ascii="仿宋_GB2312" w:eastAsia="仿宋_GB2312" w:hint="eastAsia"/>
          <w:sz w:val="32"/>
          <w:szCs w:val="32"/>
        </w:rPr>
        <w:t>，与</w:t>
      </w:r>
      <w:r>
        <w:rPr>
          <w:rFonts w:ascii="仿宋_GB2312" w:eastAsia="仿宋_GB2312" w:hint="eastAsia"/>
          <w:sz w:val="32"/>
          <w:szCs w:val="32"/>
        </w:rPr>
        <w:lastRenderedPageBreak/>
        <w:t>上年相比，减少0.94万元，下降28.31%，减少的主要原因是：严格按照八项规定的要求，压缩“三公”经费。</w:t>
      </w:r>
      <w:bookmarkStart w:id="58" w:name="OLE_LINK75"/>
      <w:bookmarkEnd w:id="56"/>
      <w:r>
        <w:rPr>
          <w:rFonts w:ascii="仿宋_GB2312" w:eastAsia="仿宋_GB2312" w:hint="eastAsia"/>
          <w:color w:val="000000" w:themeColor="text1"/>
          <w:sz w:val="32"/>
          <w:szCs w:val="32"/>
        </w:rPr>
        <w:t>其中，</w:t>
      </w:r>
      <w:bookmarkStart w:id="59" w:name="OLE_LINK30"/>
      <w:r>
        <w:rPr>
          <w:rFonts w:ascii="仿宋_GB2312" w:eastAsia="仿宋_GB2312" w:hint="eastAsia"/>
          <w:color w:val="000000" w:themeColor="text1"/>
          <w:sz w:val="32"/>
          <w:szCs w:val="32"/>
        </w:rPr>
        <w:t>因公出国（境）费支出</w:t>
      </w:r>
      <w:bookmarkEnd w:id="5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w:t>
      </w:r>
      <w:r w:rsidR="00E53325">
        <w:rPr>
          <w:rFonts w:ascii="仿宋_GB2312" w:eastAsia="仿宋_GB2312" w:hint="eastAsia"/>
          <w:sz w:val="32"/>
          <w:szCs w:val="32"/>
        </w:rPr>
        <w:t>比，增加0万元，增长0%</w:t>
      </w:r>
      <w:r>
        <w:rPr>
          <w:rFonts w:ascii="仿宋_GB2312" w:eastAsia="仿宋_GB2312" w:hint="eastAsia"/>
          <w:sz w:val="32"/>
          <w:szCs w:val="32"/>
        </w:rPr>
        <w:t>，主要原因是：本单位无此项预算安排；</w:t>
      </w:r>
      <w:bookmarkStart w:id="60" w:name="OLE_LINK31"/>
      <w:bookmarkStart w:id="61" w:name="OLE_LINK76"/>
      <w:bookmarkEnd w:id="58"/>
      <w:r>
        <w:rPr>
          <w:rFonts w:ascii="仿宋_GB2312" w:eastAsia="仿宋_GB2312" w:hint="eastAsia"/>
          <w:color w:val="000000" w:themeColor="text1"/>
          <w:sz w:val="32"/>
          <w:szCs w:val="32"/>
        </w:rPr>
        <w:t>公务用车购置及运行维护费支出</w:t>
      </w:r>
      <w:bookmarkEnd w:id="60"/>
      <w:r>
        <w:rPr>
          <w:rFonts w:ascii="仿宋_GB2312" w:eastAsia="仿宋_GB2312" w:hint="eastAsia"/>
          <w:sz w:val="32"/>
          <w:szCs w:val="32"/>
        </w:rPr>
        <w:t>2.38</w:t>
      </w:r>
      <w:r>
        <w:rPr>
          <w:rFonts w:ascii="仿宋_GB2312" w:eastAsia="仿宋_GB2312" w:hint="eastAsia"/>
          <w:color w:val="000000" w:themeColor="text1"/>
          <w:sz w:val="32"/>
          <w:szCs w:val="32"/>
        </w:rPr>
        <w:t>万元，占</w:t>
      </w:r>
      <w:r>
        <w:rPr>
          <w:rFonts w:ascii="仿宋_GB2312" w:eastAsia="仿宋_GB2312" w:hint="eastAsia"/>
          <w:sz w:val="32"/>
          <w:szCs w:val="32"/>
        </w:rPr>
        <w:t>100%，与上年相比，减少0.94万元，下降28.31%，减少的主要原因是：严格按照八项规定的要求，压缩公务用车运行维护费，减少公务用车运行维护费支出；</w:t>
      </w:r>
      <w:bookmarkStart w:id="62" w:name="OLE_LINK32"/>
      <w:bookmarkStart w:id="63" w:name="OLE_LINK78"/>
      <w:bookmarkStart w:id="64" w:name="OLE_LINK77"/>
      <w:bookmarkEnd w:id="61"/>
      <w:r>
        <w:rPr>
          <w:rFonts w:ascii="仿宋_GB2312" w:eastAsia="仿宋_GB2312" w:hint="eastAsia"/>
          <w:color w:val="000000" w:themeColor="text1"/>
          <w:sz w:val="32"/>
          <w:szCs w:val="32"/>
        </w:rPr>
        <w:t>公务接待费支出</w:t>
      </w:r>
      <w:bookmarkEnd w:id="6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w:t>
      </w:r>
      <w:r w:rsidR="00E53325">
        <w:rPr>
          <w:rFonts w:ascii="仿宋_GB2312" w:eastAsia="仿宋_GB2312" w:hint="eastAsia"/>
          <w:sz w:val="32"/>
          <w:szCs w:val="32"/>
        </w:rPr>
        <w:t>比，增加0万元，增长0%</w:t>
      </w:r>
      <w:r>
        <w:rPr>
          <w:rFonts w:ascii="仿宋_GB2312" w:eastAsia="仿宋_GB2312" w:hint="eastAsia"/>
          <w:sz w:val="32"/>
          <w:szCs w:val="32"/>
        </w:rPr>
        <w:t>，主要原因是：本单位无此项预算安排。</w:t>
      </w:r>
      <w:bookmarkEnd w:id="63"/>
      <w:bookmarkEnd w:id="64"/>
      <w:r>
        <w:rPr>
          <w:rFonts w:ascii="仿宋_GB2312" w:eastAsia="仿宋_GB2312" w:hint="eastAsia"/>
          <w:color w:val="000000" w:themeColor="text1"/>
          <w:sz w:val="32"/>
          <w:szCs w:val="32"/>
        </w:rPr>
        <w:t>具体情况如下：</w:t>
      </w:r>
    </w:p>
    <w:p w:rsidR="00AE3A77" w:rsidRDefault="00DB78E9">
      <w:pPr>
        <w:spacing w:line="540" w:lineRule="exact"/>
        <w:ind w:firstLineChars="200" w:firstLine="640"/>
        <w:rPr>
          <w:rFonts w:ascii="仿宋_GB2312" w:eastAsia="仿宋_GB2312"/>
          <w:color w:val="000000" w:themeColor="text1"/>
          <w:sz w:val="32"/>
          <w:szCs w:val="32"/>
        </w:rPr>
      </w:pPr>
      <w:bookmarkStart w:id="65" w:name="OLE_LINK79"/>
      <w:bookmarkStart w:id="66"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新疆喀什地区英吉沙县依格孜牙乡人民政府（本级）</w:t>
      </w:r>
      <w:r>
        <w:rPr>
          <w:rFonts w:ascii="仿宋_GB2312" w:eastAsia="仿宋_GB2312" w:hint="eastAsia"/>
          <w:color w:val="000000" w:themeColor="text1"/>
          <w:sz w:val="32"/>
          <w:szCs w:val="32"/>
        </w:rPr>
        <w:t>单位</w:t>
      </w:r>
      <w:bookmarkStart w:id="67" w:name="OLE_LINK33"/>
      <w:r>
        <w:rPr>
          <w:rFonts w:ascii="仿宋_GB2312" w:eastAsia="仿宋_GB2312" w:hint="eastAsia"/>
          <w:color w:val="000000" w:themeColor="text1"/>
          <w:sz w:val="32"/>
          <w:szCs w:val="32"/>
        </w:rPr>
        <w:t>全年</w:t>
      </w:r>
      <w:bookmarkStart w:id="68" w:name="OLE_LINK34"/>
      <w:bookmarkStart w:id="69" w:name="OLE_LINK35"/>
      <w:bookmarkStart w:id="70" w:name="OLE_LINK36"/>
      <w:r>
        <w:rPr>
          <w:rFonts w:ascii="仿宋_GB2312" w:eastAsia="仿宋_GB2312" w:hint="eastAsia"/>
          <w:color w:val="000000" w:themeColor="text1"/>
          <w:sz w:val="32"/>
          <w:szCs w:val="32"/>
        </w:rPr>
        <w:t>使用一般</w:t>
      </w:r>
      <w:bookmarkStart w:id="71" w:name="_GoBack"/>
      <w:bookmarkEnd w:id="71"/>
      <w:r>
        <w:rPr>
          <w:rFonts w:ascii="仿宋_GB2312" w:eastAsia="仿宋_GB2312" w:hint="eastAsia"/>
          <w:color w:val="000000" w:themeColor="text1"/>
          <w:sz w:val="32"/>
          <w:szCs w:val="32"/>
        </w:rPr>
        <w:t>公共预算财政拨款安排的出国（境）团组</w:t>
      </w:r>
      <w:bookmarkEnd w:id="67"/>
      <w:bookmarkEnd w:id="68"/>
      <w:bookmarkEnd w:id="69"/>
      <w:r>
        <w:rPr>
          <w:rFonts w:ascii="仿宋_GB2312" w:eastAsia="仿宋_GB2312" w:hint="eastAsia"/>
          <w:sz w:val="32"/>
          <w:szCs w:val="32"/>
        </w:rPr>
        <w:t>0</w:t>
      </w:r>
      <w:r>
        <w:rPr>
          <w:rFonts w:ascii="仿宋_GB2312" w:eastAsia="仿宋_GB2312" w:hint="eastAsia"/>
          <w:color w:val="000000" w:themeColor="text1"/>
          <w:sz w:val="32"/>
          <w:szCs w:val="32"/>
        </w:rPr>
        <w:t>个</w:t>
      </w:r>
      <w:bookmarkEnd w:id="70"/>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3"/>
    </w:p>
    <w:p w:rsidR="00AE3A77" w:rsidRDefault="00DB78E9">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2.38</w:t>
      </w:r>
      <w:r>
        <w:rPr>
          <w:rFonts w:ascii="仿宋_GB2312" w:eastAsia="仿宋_GB2312" w:hint="eastAsia"/>
          <w:color w:val="000000" w:themeColor="text1"/>
          <w:sz w:val="32"/>
          <w:szCs w:val="32"/>
        </w:rPr>
        <w:t>万元,其中，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2.38</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汽车燃油费、维修费、保险费、过路费</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4</w:t>
      </w:r>
      <w:r>
        <w:rPr>
          <w:rFonts w:ascii="仿宋_GB2312" w:eastAsia="仿宋_GB2312" w:hint="eastAsia"/>
          <w:color w:val="000000" w:themeColor="text1"/>
          <w:sz w:val="32"/>
          <w:szCs w:val="32"/>
        </w:rPr>
        <w:t>辆。</w:t>
      </w:r>
      <w:bookmarkEnd w:id="78"/>
    </w:p>
    <w:p w:rsidR="00AE3A77" w:rsidRDefault="00DB78E9">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新疆喀什地区英吉沙县依格孜牙乡人民政府（本级）</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AE3A77" w:rsidRDefault="00DB78E9">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ascii="仿宋_GB2312" w:eastAsia="仿宋_GB2312" w:hint="eastAsia"/>
          <w:color w:val="000000" w:themeColor="text1"/>
          <w:sz w:val="32"/>
          <w:szCs w:val="32"/>
        </w:rPr>
        <w:t>万元，决算数2.38万元</w:t>
      </w:r>
      <w:r>
        <w:rPr>
          <w:rFonts w:ascii="仿宋_GB2312" w:eastAsia="仿宋_GB2312"/>
          <w:color w:val="000000" w:themeColor="text1"/>
          <w:sz w:val="32"/>
          <w:szCs w:val="32"/>
        </w:rPr>
        <w:t>，预决算差异率-36.53%，差异主要原因是严格按照八项规定的要求，压缩</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w:t>
      </w:r>
      <w:r>
        <w:rPr>
          <w:rFonts w:ascii="仿宋_GB2312" w:eastAsia="仿宋_GB2312" w:hAnsi="宋体" w:cs="宋体" w:hint="eastAsia"/>
          <w:color w:val="000000" w:themeColor="text1"/>
          <w:kern w:val="0"/>
          <w:sz w:val="32"/>
          <w:szCs w:val="32"/>
        </w:rPr>
        <w:lastRenderedPageBreak/>
        <w:t>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3.75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2.38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，预决算差异率-36.53%，差异主要原因是严格按照八项规定的要求， 压缩公务用车运行维护费，减少公务用车运行维护费支出；</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7"/>
      <w:r>
        <w:rPr>
          <w:rFonts w:ascii="仿宋_GB2312" w:eastAsia="仿宋_GB2312"/>
          <w:color w:val="000000" w:themeColor="text1"/>
          <w:sz w:val="32"/>
          <w:szCs w:val="32"/>
        </w:rPr>
        <w:t>本单位无此项预算安排。</w:t>
      </w:r>
    </w:p>
    <w:p w:rsidR="00AE3A77" w:rsidRDefault="00DB78E9">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AE3A77" w:rsidRDefault="00DB78E9">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2018年度新疆喀什地区英吉沙县依格孜牙乡人民政府（本级）机关运行经费支出40.81万元，与上年相比，增加21.02万元，增长106.22%，增加的主要原因是：机关各部门业务工作增加、人员配备增加、办公耗材增加。</w:t>
      </w:r>
    </w:p>
    <w:p w:rsidR="00AE3A77" w:rsidRDefault="00DB78E9">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AE3A77" w:rsidRDefault="00DB78E9">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34.4</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34.4</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AE3A77" w:rsidRDefault="00DB78E9">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AE3A77" w:rsidRDefault="00DB78E9">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AE3A77" w:rsidRDefault="00DB78E9">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4</w:t>
      </w:r>
      <w:r>
        <w:rPr>
          <w:rFonts w:ascii="仿宋_GB2312" w:eastAsia="仿宋_GB2312" w:hint="eastAsia"/>
          <w:color w:val="000000" w:themeColor="text1"/>
          <w:sz w:val="32"/>
          <w:szCs w:val="32"/>
        </w:rPr>
        <w:t>辆，价值</w:t>
      </w:r>
      <w:r>
        <w:rPr>
          <w:rFonts w:ascii="仿宋_GB2312" w:eastAsia="仿宋_GB2312" w:hint="eastAsia"/>
          <w:sz w:val="32"/>
          <w:szCs w:val="32"/>
        </w:rPr>
        <w:t>26.72</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4</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hint="eastAsia"/>
          <w:color w:val="000000" w:themeColor="text1"/>
          <w:sz w:val="32"/>
          <w:szCs w:val="32"/>
        </w:rPr>
        <w:lastRenderedPageBreak/>
        <w:t>宣传、督察用车</w:t>
      </w:r>
      <w:r>
        <w:rPr>
          <w:rFonts w:ascii="仿宋_GB2312" w:eastAsia="仿宋_GB2312"/>
          <w:color w:val="000000" w:themeColor="text1"/>
          <w:sz w:val="32"/>
          <w:szCs w:val="32"/>
        </w:rPr>
        <w:t>；</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AE3A77" w:rsidRDefault="00DB78E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英依格孜牙乡人民政府2018年度部门预算总额为1,301.94万元，执行金额为1,301.94万元，预算执行率为100%。本次自评共涉及项目数24个，其中已完成项目24个、未完成项目0个，项目总体完成率为100%，各项目支出管理过程较为规范，预期绩效目标完成情况良好。通过本次自评全面总结了项目实施过程中的经验及不足，为2019年度预算绩效管理工作开展奠定基础。</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1</w:t>
      </w:r>
      <w:r w:rsidR="00DB78E9">
        <w:rPr>
          <w:rFonts w:ascii="仿宋_GB2312" w:eastAsia="仿宋_GB2312" w:hAnsi="仿宋_GB2312" w:cs="仿宋_GB2312"/>
          <w:color w:val="000000"/>
          <w:sz w:val="32"/>
        </w:rPr>
        <w:t>、2018年贫困村整治项目绩效自评综述：根据年初设定的绩效目标，该项目绩效自评得分为88分。项目全年预算数为0.31万元，执行数为0.31万元，完成预算的100%。主要产出和效果：引导农户拆除危旧房，配套改造厨房，厕所，合理规范庭院，治理乱堆乱放，确保庭院干净整洁，推进农村新型化建设。提高农民购买机械力度。发现的问题及原因：个人主动性还不够高。下一步改进</w:t>
      </w:r>
      <w:r w:rsidR="00DB78E9">
        <w:rPr>
          <w:rFonts w:ascii="仿宋_GB2312" w:eastAsia="仿宋_GB2312" w:hAnsi="仿宋_GB2312" w:cs="仿宋_GB2312"/>
          <w:color w:val="000000"/>
          <w:sz w:val="32"/>
        </w:rPr>
        <w:lastRenderedPageBreak/>
        <w:t>措施： 加大对农民的宣传指导。</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2</w:t>
      </w:r>
      <w:r w:rsidR="00DB78E9">
        <w:rPr>
          <w:rFonts w:ascii="仿宋_GB2312" w:eastAsia="仿宋_GB2312" w:hAnsi="仿宋_GB2312" w:cs="仿宋_GB2312"/>
          <w:color w:val="000000"/>
          <w:sz w:val="32"/>
        </w:rPr>
        <w:t>、2018年贫困户自主创业补助项目绩效自评综述：根据年初设定的绩效目标，该项目绩效自评得分为87分。项目全年预算数为98万元，执行数为98万元，完成预算的100%。主要产出和效果：通过鼓励有条件的贫困户主动创业，形成创业风气， 增加就业岗位，通过产业发展，带动就业脱贫， 形成可持续的脱贫成效，增加社会总产出。发现的问题及原因：宣传不到位。下一步改进措施： 加强宣传引导，改善人居环境。</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3</w:t>
      </w:r>
      <w:r w:rsidR="00DB78E9">
        <w:rPr>
          <w:rFonts w:ascii="仿宋_GB2312" w:eastAsia="仿宋_GB2312" w:hAnsi="仿宋_GB2312" w:cs="仿宋_GB2312"/>
          <w:color w:val="000000"/>
          <w:sz w:val="32"/>
        </w:rPr>
        <w:t>、贫困户养老保险项目绩效自评综述：根据年初设定的绩效目标，该项目绩效自评得分为89分。项目全年预算数为2.39万元，执行数为2.39万元，完成预算的100%。主要产出和效果：考虑到贫困户经济条件差，为减轻贫困户负担， 给予贫困户1194名贫困户每人20元用于缴纳养老保险发现的问题及原因：无。下一步改进措施： 帮助农民及时缴纳养老保险，完善社会保障体系。</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4</w:t>
      </w:r>
      <w:r w:rsidR="00DB78E9">
        <w:rPr>
          <w:rFonts w:ascii="仿宋_GB2312" w:eastAsia="仿宋_GB2312" w:hAnsi="仿宋_GB2312" w:cs="仿宋_GB2312"/>
          <w:color w:val="000000"/>
          <w:sz w:val="32"/>
        </w:rPr>
        <w:t>、2018年美容美发补助项目绩效自评综述：根据年初设定的绩效目标，该项目绩效自评得分为93分。项目全年预算数为5万元，执行数为5万元，完成预算的100%。主要产出和效果：鼓励有条件的贫困户开美发店，让有一技之长的8户贫困户特别是年轻人通过自主创业增加收入， 并能带动就业，增加就业岗位16个，通过产业发展，增加收入， 带动贫困户增收。带动就业脱贫，形成可持续的脱贫成效。发现的问题及原因：个人主动性还不够高。下一步改进措施： 加大对农民的宣传指导。</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5</w:t>
      </w:r>
      <w:r w:rsidR="00DB78E9">
        <w:rPr>
          <w:rFonts w:ascii="仿宋_GB2312" w:eastAsia="仿宋_GB2312" w:hAnsi="仿宋_GB2312" w:cs="仿宋_GB2312"/>
          <w:color w:val="000000"/>
          <w:sz w:val="32"/>
        </w:rPr>
        <w:t>、2018年庭院经济补助项目绩效自评综述：根据年初设定的</w:t>
      </w:r>
      <w:r w:rsidR="00DB78E9">
        <w:rPr>
          <w:rFonts w:ascii="仿宋_GB2312" w:eastAsia="仿宋_GB2312" w:hAnsi="仿宋_GB2312" w:cs="仿宋_GB2312"/>
          <w:color w:val="000000"/>
          <w:sz w:val="32"/>
        </w:rPr>
        <w:lastRenderedPageBreak/>
        <w:t>绩效目标，该项目绩效自评得分为92分。项目全年预算数为165.4万元，执行数为165.4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6</w:t>
      </w:r>
      <w:r w:rsidR="00DB78E9">
        <w:rPr>
          <w:rFonts w:ascii="仿宋_GB2312" w:eastAsia="仿宋_GB2312" w:hAnsi="仿宋_GB2312" w:cs="仿宋_GB2312"/>
          <w:color w:val="000000"/>
          <w:sz w:val="32"/>
        </w:rPr>
        <w:t>、2018年小商铺建设补助项目绩效自评综述：根据年初设定的绩效目标，该项目绩效自评得分为91分。项目全年预算数为120万元，执行数为120万元，完成预算的100%。主要产出和效果：通过4个村建设10座小商铺，并无偿出租给条件适合的贫困户，通过自主创业的方式帮助贫困户实现产业脱贫，增加群众收入，促进商品流通，完善村社区服务，改进村容村貌发现的问题及原因：无。下一步改进措施： 带动农民就业创业积极性，形成干事创业良好风气。</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7</w:t>
      </w:r>
      <w:r w:rsidR="00DB78E9">
        <w:rPr>
          <w:rFonts w:ascii="仿宋_GB2312" w:eastAsia="仿宋_GB2312" w:hAnsi="仿宋_GB2312" w:cs="仿宋_GB2312"/>
          <w:color w:val="000000"/>
          <w:sz w:val="32"/>
        </w:rPr>
        <w:t>、综治工作经费项目绩效自评综述：根据年初设定的绩效目标，该项目绩效自评得分为88分。项目全年预算数为5万元，执行数为5万元，完成预算的100%。主要产出和效果：进一步解决了实际困难，加强了社会综治工作的提升力度。发现的问题及原因：无。下一步改进措施： 充分发挥了末梢的作用，优化提升了处理问题的能力。</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8</w:t>
      </w:r>
      <w:r w:rsidR="00DB78E9">
        <w:rPr>
          <w:rFonts w:ascii="仿宋_GB2312" w:eastAsia="仿宋_GB2312" w:hAnsi="仿宋_GB2312" w:cs="仿宋_GB2312"/>
          <w:color w:val="000000"/>
          <w:sz w:val="32"/>
        </w:rPr>
        <w:t>、社会保障和就业支出项目绩效自评综述：根据年初设定的绩效目标，该项目绩效自评得分为87分。项目全年预算数为28万元，执行数为28万元，完成预算的100%。主要产出和效果：解决群众</w:t>
      </w:r>
      <w:r w:rsidR="00DB78E9">
        <w:rPr>
          <w:rFonts w:ascii="仿宋_GB2312" w:eastAsia="仿宋_GB2312" w:hAnsi="仿宋_GB2312" w:cs="仿宋_GB2312"/>
          <w:color w:val="000000"/>
          <w:sz w:val="32"/>
        </w:rPr>
        <w:lastRenderedPageBreak/>
        <w:t>的生活生产困难，关心关爱残疾人生活，解决实际困难；感受到党的温暖和关怀，解决群众的生活生产困难，关心关爱孤寡老人，做到老有所养、病有所医。发现的问题及原因：无下一步改进措施： 严格按民政局要求，做好双集中供养老人的生活保障.做好双集中供养老人的生活保障。</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9</w:t>
      </w:r>
      <w:r w:rsidR="00DB78E9">
        <w:rPr>
          <w:rFonts w:ascii="仿宋_GB2312" w:eastAsia="仿宋_GB2312" w:hAnsi="仿宋_GB2312" w:cs="仿宋_GB2312"/>
          <w:color w:val="000000"/>
          <w:sz w:val="32"/>
        </w:rPr>
        <w:t>、2018年农村基础设施建设项目绩效自评综述：根据年初设定的绩效目标，该项目绩效自评得分为86分。项目全年预算数为390万元，执行数为390万元，完成预算的100%。主要产出和效果：通过建设小商铺，并无偿出租给条件适合的贫困户， 通过自主创业的方式帮助贫困户实现产业脱贫， 增加群众收入，促进商品流通，完善村社区服务，改进村容村貌发现的问题及原因：由于农民思想觉悟不高，导致养殖小区没有发挥应有的作用。下一步改进措施： 加大对农民的宣传指导。</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10</w:t>
      </w:r>
      <w:r w:rsidR="00DB78E9">
        <w:rPr>
          <w:rFonts w:ascii="仿宋_GB2312" w:eastAsia="仿宋_GB2312" w:hAnsi="仿宋_GB2312" w:cs="仿宋_GB2312"/>
          <w:color w:val="000000"/>
          <w:sz w:val="32"/>
        </w:rPr>
        <w:t>、涉农整合实施农业育苗补助资金项目绩效自评综述：根据年初设定的绩效目标，该项目绩效自评得分为93分。项目全年预算数为1.21万元，执行数为1.21万元，完成预算的100%。主要产出和效果：让贫困户种植蔬菜进行增收，有助于贫困户早日脱贫。发现的问题及原因：资金的使用率低。下一步改进措施： 及时为795户贫困户购买苗子，确保贫困户能够种植完成，提高资金的使用率。</w:t>
      </w:r>
    </w:p>
    <w:p w:rsidR="00AE3A77" w:rsidRDefault="00DB78E9">
      <w:pPr>
        <w:spacing w:line="540" w:lineRule="exact"/>
        <w:ind w:left="-1" w:right="-1" w:firstLine="646"/>
        <w:jc w:val="left"/>
      </w:pPr>
      <w:r>
        <w:rPr>
          <w:rFonts w:ascii="仿宋_GB2312" w:eastAsia="仿宋_GB2312" w:hAnsi="仿宋_GB2312" w:cs="仿宋_GB2312"/>
          <w:color w:val="000000"/>
          <w:sz w:val="32"/>
        </w:rPr>
        <w:t>1</w:t>
      </w:r>
      <w:r w:rsidR="00E24B9C">
        <w:rPr>
          <w:rFonts w:ascii="仿宋_GB2312" w:eastAsia="仿宋_GB2312" w:hAnsi="仿宋_GB2312" w:cs="仿宋_GB2312" w:hint="eastAsia"/>
          <w:color w:val="000000"/>
          <w:sz w:val="32"/>
        </w:rPr>
        <w:t>1</w:t>
      </w:r>
      <w:r>
        <w:rPr>
          <w:rFonts w:ascii="仿宋_GB2312" w:eastAsia="仿宋_GB2312" w:hAnsi="仿宋_GB2312" w:cs="仿宋_GB2312"/>
          <w:color w:val="000000"/>
          <w:sz w:val="32"/>
        </w:rPr>
        <w:t>、棚圈补助资金项目绩效自评综述：根据年初设定的绩效目标，该项目绩效自评得分为92分。项目全年预算数为47.35万元，执行数为47.35万元，完成预算的100%。主要产出和效果：通过建设棚圈项目，扩大贫困户进的养殖规模，使贫困户提高了收入，，提</w:t>
      </w:r>
      <w:r>
        <w:rPr>
          <w:rFonts w:ascii="仿宋_GB2312" w:eastAsia="仿宋_GB2312" w:hAnsi="仿宋_GB2312" w:cs="仿宋_GB2312"/>
          <w:color w:val="000000"/>
          <w:sz w:val="32"/>
        </w:rPr>
        <w:lastRenderedPageBreak/>
        <w:t>高群众安全意识，保障牲畜安全，改变了过去的棚圈条件，保障了牲畜的安全，改善了养殖条件。发现的问题及原因：无下一步改进措施： 按时完成棚圈补助资金的发放，帮助提高贫困户的收入，有助于贫困户早日脱贫。</w:t>
      </w:r>
    </w:p>
    <w:p w:rsidR="00AE3A77" w:rsidRDefault="00DB78E9">
      <w:pPr>
        <w:spacing w:line="540" w:lineRule="exact"/>
        <w:ind w:left="-1" w:right="-1" w:firstLine="646"/>
        <w:jc w:val="left"/>
      </w:pPr>
      <w:r>
        <w:rPr>
          <w:rFonts w:ascii="仿宋_GB2312" w:eastAsia="仿宋_GB2312" w:hAnsi="仿宋_GB2312" w:cs="仿宋_GB2312"/>
          <w:color w:val="000000"/>
          <w:sz w:val="32"/>
        </w:rPr>
        <w:t>1</w:t>
      </w:r>
      <w:r w:rsidR="00E24B9C">
        <w:rPr>
          <w:rFonts w:ascii="仿宋_GB2312" w:eastAsia="仿宋_GB2312" w:hAnsi="仿宋_GB2312" w:cs="仿宋_GB2312" w:hint="eastAsia"/>
          <w:color w:val="000000"/>
          <w:sz w:val="32"/>
        </w:rPr>
        <w:t>2</w:t>
      </w:r>
      <w:r>
        <w:rPr>
          <w:rFonts w:ascii="仿宋_GB2312" w:eastAsia="仿宋_GB2312" w:hAnsi="仿宋_GB2312" w:cs="仿宋_GB2312"/>
          <w:color w:val="000000"/>
          <w:sz w:val="32"/>
        </w:rPr>
        <w:t>、林果业提质增效补助资金项目绩效自评综述：根据年初设定的绩效目标，该项目绩效自评得分为86分。项目全年预算数为93.18万元，执行数为93.18万元，完成预算的100%。主要产出和效果：通过发放补助资金、物资，用于林果业提质增效，提高贫困户收入，促进贫困户早日脱贫。发现的问题及原因：产生的效益较差。下一步改进措施： 带动贫困户就业。加强按时发放补助资金、物资，保障困户早日脱贫。</w:t>
      </w:r>
    </w:p>
    <w:p w:rsidR="00AE3A77" w:rsidRDefault="00DB78E9">
      <w:pPr>
        <w:spacing w:line="540" w:lineRule="exact"/>
        <w:ind w:left="-1" w:right="-1" w:firstLine="646"/>
        <w:jc w:val="left"/>
      </w:pPr>
      <w:r>
        <w:rPr>
          <w:rFonts w:ascii="仿宋_GB2312" w:eastAsia="仿宋_GB2312" w:hAnsi="仿宋_GB2312" w:cs="仿宋_GB2312"/>
          <w:color w:val="000000"/>
          <w:sz w:val="32"/>
        </w:rPr>
        <w:t>1</w:t>
      </w:r>
      <w:r w:rsidR="00E24B9C">
        <w:rPr>
          <w:rFonts w:ascii="仿宋_GB2312" w:eastAsia="仿宋_GB2312" w:hAnsi="仿宋_GB2312" w:cs="仿宋_GB2312" w:hint="eastAsia"/>
          <w:color w:val="000000"/>
          <w:sz w:val="32"/>
        </w:rPr>
        <w:t>3</w:t>
      </w:r>
      <w:r>
        <w:rPr>
          <w:rFonts w:ascii="仿宋_GB2312" w:eastAsia="仿宋_GB2312" w:hAnsi="仿宋_GB2312" w:cs="仿宋_GB2312"/>
          <w:color w:val="000000"/>
          <w:sz w:val="32"/>
        </w:rPr>
        <w:t>、林果业合作社奖补整合资金项目绩效自评综述：根据年初设定的绩效目标，该项目绩效自评得分为91分。项目全年预算数为25万元，执行数为25万元，完成预算的100%。主要产出和效果：为合作社正常运转提供有效保障，提高合作社成员积极性，带动贫困户就业。发现的问题及原因：工作人员积极性不够，原因是业务量较少，产生的效益较差。下一步改进措施： 加强合作社经营管理技能培训，提高合作社成员经营管理能力。</w:t>
      </w:r>
    </w:p>
    <w:p w:rsidR="00AE3A77" w:rsidRDefault="00DB78E9">
      <w:pPr>
        <w:spacing w:line="540" w:lineRule="exact"/>
        <w:ind w:left="-1" w:right="-1" w:firstLine="646"/>
        <w:jc w:val="left"/>
      </w:pPr>
      <w:r>
        <w:rPr>
          <w:rFonts w:ascii="仿宋_GB2312" w:eastAsia="仿宋_GB2312" w:hAnsi="仿宋_GB2312" w:cs="仿宋_GB2312"/>
          <w:color w:val="000000"/>
          <w:sz w:val="32"/>
        </w:rPr>
        <w:t>1</w:t>
      </w:r>
      <w:r w:rsidR="00E24B9C">
        <w:rPr>
          <w:rFonts w:ascii="仿宋_GB2312" w:eastAsia="仿宋_GB2312" w:hAnsi="仿宋_GB2312" w:cs="仿宋_GB2312" w:hint="eastAsia"/>
          <w:color w:val="000000"/>
          <w:sz w:val="32"/>
        </w:rPr>
        <w:t>4</w:t>
      </w:r>
      <w:r>
        <w:rPr>
          <w:rFonts w:ascii="仿宋_GB2312" w:eastAsia="仿宋_GB2312" w:hAnsi="仿宋_GB2312" w:cs="仿宋_GB2312"/>
          <w:color w:val="000000"/>
          <w:sz w:val="32"/>
        </w:rPr>
        <w:t>、村民服务中心建设项目绩效自评综述：根据年初设定的绩效目标，该项目绩效自评得分为90分。项目全年预算数为27.03万元，执行数为27.03万元，完成预算的100%。主要产出和效果：为村民生活提供便利，改善人居环境，提高村民生活质量。发现的问题及原因：内容不够丰富。下一步改进措施： 进一步加强建设内容。</w:t>
      </w:r>
    </w:p>
    <w:p w:rsidR="00AE3A77" w:rsidRDefault="00DB78E9">
      <w:pPr>
        <w:spacing w:line="540" w:lineRule="exact"/>
        <w:ind w:left="-1" w:right="-1" w:firstLine="646"/>
        <w:jc w:val="left"/>
      </w:pPr>
      <w:r>
        <w:rPr>
          <w:rFonts w:ascii="仿宋_GB2312" w:eastAsia="仿宋_GB2312" w:hAnsi="仿宋_GB2312" w:cs="仿宋_GB2312"/>
          <w:color w:val="000000"/>
          <w:sz w:val="32"/>
        </w:rPr>
        <w:lastRenderedPageBreak/>
        <w:t>1</w:t>
      </w:r>
      <w:r w:rsidR="00E24B9C">
        <w:rPr>
          <w:rFonts w:ascii="仿宋_GB2312" w:eastAsia="仿宋_GB2312" w:hAnsi="仿宋_GB2312" w:cs="仿宋_GB2312" w:hint="eastAsia"/>
          <w:color w:val="000000"/>
          <w:sz w:val="32"/>
        </w:rPr>
        <w:t>5</w:t>
      </w:r>
      <w:r>
        <w:rPr>
          <w:rFonts w:ascii="仿宋_GB2312" w:eastAsia="仿宋_GB2312" w:hAnsi="仿宋_GB2312" w:cs="仿宋_GB2312"/>
          <w:color w:val="000000"/>
          <w:sz w:val="32"/>
        </w:rPr>
        <w:t>、文化体系建设经费项目绩效自评综述：根据年初设定的绩效目标，该项目绩效自评得分为88分。项目全年预算数为1万元，执行数为1万元，完成预算的100%。主要产出和效果：该项目资金我乡主要使用在进一步加快我乡文化事业发展，大力推动文化建设，开展丰富多彩的群众文化活动。该项目资金的实施确保了我乡文化的事业发展，进一步丰富了群众的精神文化生活。项目实施以来各有关方尽心履职，通力合作，不断提升了群众的精神文化生活。总体上，较好的实现了项目的战略目标和工作目标，自评为优秀。发现的问题及原因：无。下一步改进措施： 该项经费的实施极大的提高了工作效率，缓解了我乡经费压力，今后我乡仍将继续加强资金监管工作，严格资金审批手续。</w:t>
      </w:r>
    </w:p>
    <w:p w:rsidR="00AE3A77" w:rsidRDefault="00DB78E9">
      <w:pPr>
        <w:spacing w:line="540" w:lineRule="exact"/>
        <w:ind w:left="-1" w:right="-1" w:firstLine="646"/>
        <w:jc w:val="left"/>
      </w:pPr>
      <w:r>
        <w:rPr>
          <w:rFonts w:ascii="仿宋_GB2312" w:eastAsia="仿宋_GB2312" w:hAnsi="仿宋_GB2312" w:cs="仿宋_GB2312"/>
          <w:color w:val="000000"/>
          <w:sz w:val="32"/>
        </w:rPr>
        <w:t>1</w:t>
      </w:r>
      <w:r w:rsidR="00E24B9C">
        <w:rPr>
          <w:rFonts w:ascii="仿宋_GB2312" w:eastAsia="仿宋_GB2312" w:hAnsi="仿宋_GB2312" w:cs="仿宋_GB2312" w:hint="eastAsia"/>
          <w:color w:val="000000"/>
          <w:sz w:val="32"/>
        </w:rPr>
        <w:t>6</w:t>
      </w:r>
      <w:r>
        <w:rPr>
          <w:rFonts w:ascii="仿宋_GB2312" w:eastAsia="仿宋_GB2312" w:hAnsi="仿宋_GB2312" w:cs="仿宋_GB2312"/>
          <w:color w:val="000000"/>
          <w:sz w:val="32"/>
        </w:rPr>
        <w:t>、安装国旗杆项目绩效自评综述：根据年初设定的绩效目标，该项目绩效自评得分为85分。项目全年预算数为0.24万元，执行数为0.24万元，完成预算的100%。主要产出和效果：该项目资金我乡主要使用在安装3个国旗杆，增进广大农民群众的爱国主义情感。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切实做好厉行节约工作，全面落实各项管理制度要求，努力降低行政成本。</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17</w:t>
      </w:r>
      <w:r w:rsidR="00DB78E9">
        <w:rPr>
          <w:rFonts w:ascii="仿宋_GB2312" w:eastAsia="仿宋_GB2312" w:hAnsi="仿宋_GB2312" w:cs="仿宋_GB2312"/>
          <w:color w:val="000000"/>
          <w:sz w:val="32"/>
        </w:rPr>
        <w:t>、大学生村干部工资项目绩效自评综述：根据年初设定的绩效目标，该项目绩效自评得分为86分。项目全年预算数为3.3万元，执行数为3.3万元，完成预算的100%。主要产出和效果：通过配齐</w:t>
      </w:r>
      <w:r w:rsidR="00DB78E9">
        <w:rPr>
          <w:rFonts w:ascii="仿宋_GB2312" w:eastAsia="仿宋_GB2312" w:hAnsi="仿宋_GB2312" w:cs="仿宋_GB2312"/>
          <w:color w:val="000000"/>
          <w:sz w:val="32"/>
        </w:rPr>
        <w:lastRenderedPageBreak/>
        <w:t>全乡大学生村官数量，有助于加强</w:t>
      </w:r>
      <w:r w:rsidR="00DB78E9">
        <w:rPr>
          <w:rFonts w:ascii="仿宋_GB2312" w:eastAsia="仿宋_GB2312" w:hAnsi="仿宋_GB2312" w:cs="仿宋_GB2312" w:hint="eastAsia"/>
          <w:color w:val="000000"/>
          <w:sz w:val="32"/>
        </w:rPr>
        <w:t>普通话</w:t>
      </w:r>
      <w:r w:rsidR="00DB78E9">
        <w:rPr>
          <w:rFonts w:ascii="仿宋_GB2312" w:eastAsia="仿宋_GB2312" w:hAnsi="仿宋_GB2312" w:cs="仿宋_GB2312"/>
          <w:color w:val="000000"/>
          <w:sz w:val="32"/>
        </w:rPr>
        <w:t>学习，提高工作能力。发现的问题及原因：无存在问题。下一步改进措施： 重视预算支出绩效评估工作，成立了绩效评估领导小组，严格预算执行，按规定对财务收支情况进行通报，加强了全年预算管理。</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18</w:t>
      </w:r>
      <w:r w:rsidR="00DB78E9">
        <w:rPr>
          <w:rFonts w:ascii="仿宋_GB2312" w:eastAsia="仿宋_GB2312" w:hAnsi="仿宋_GB2312" w:cs="仿宋_GB2312"/>
          <w:color w:val="000000"/>
          <w:sz w:val="32"/>
        </w:rPr>
        <w:t>、合作社补助涉农整合资金项目绩效自评综述：根据年初设定的绩效目标，该项目绩效自评得分为87分。项目全年预算数为13万元，执行数为13万元，完成预算的100%。主要产出和效果：通过给合作社补助资金，提高了合作社的运转能力 ，节约了成本，提高了收入。发现的问题及原因：合作社成员积极性不高。下一步改进措施： 为合作社正常运转提供有效保障，提高合作社成员积极性，带动贫困户就业。</w:t>
      </w:r>
    </w:p>
    <w:p w:rsidR="00AE3A77" w:rsidRDefault="00E24B9C">
      <w:pPr>
        <w:spacing w:line="540" w:lineRule="exact"/>
        <w:ind w:left="-1" w:right="-1" w:firstLine="646"/>
        <w:jc w:val="left"/>
      </w:pPr>
      <w:r>
        <w:rPr>
          <w:rFonts w:ascii="仿宋_GB2312" w:eastAsia="仿宋_GB2312" w:hAnsi="仿宋_GB2312" w:cs="仿宋_GB2312" w:hint="eastAsia"/>
          <w:color w:val="000000"/>
          <w:sz w:val="32"/>
        </w:rPr>
        <w:t>19</w:t>
      </w:r>
      <w:r w:rsidR="00DB78E9">
        <w:rPr>
          <w:rFonts w:ascii="仿宋_GB2312" w:eastAsia="仿宋_GB2312" w:hAnsi="仿宋_GB2312" w:cs="仿宋_GB2312"/>
          <w:color w:val="000000"/>
          <w:sz w:val="32"/>
        </w:rPr>
        <w:t>、农村危房改造补助项目绩效自评综述：根据年初设定的绩效目标，该项目绩效自评得分为89分。项目全年预算数为71.3万元，执行数为71.3万元，完成预算的100%。主要产出和效果：为我乡4个村脱贫攻坚奠定了基础，从根本上解决了农户住房安全的问题，为脱贫攻坚助力。增强了农户的幸福指数。发现的问题及原因：项目执行前期的规划及实施方案应该更加详细，综合考虑实际情况，使项目实施的更加顺畅，更加高效。下一步改进措施： 通过依格孜牙农村危房建设项目执行情况，做好下一年工作经费执行预算，充分发挥农村危房建设在脱贫攻坚工作的重要作用。</w:t>
      </w:r>
    </w:p>
    <w:p w:rsidR="00AE3A77" w:rsidRDefault="00DB78E9">
      <w:pPr>
        <w:spacing w:line="540" w:lineRule="exact"/>
        <w:ind w:left="-1" w:right="-1" w:firstLine="646"/>
        <w:jc w:val="left"/>
      </w:pPr>
      <w:r>
        <w:rPr>
          <w:rFonts w:ascii="仿宋_GB2312" w:eastAsia="仿宋_GB2312" w:hAnsi="仿宋_GB2312" w:cs="仿宋_GB2312"/>
          <w:color w:val="000000"/>
          <w:sz w:val="32"/>
        </w:rPr>
        <w:t>2</w:t>
      </w:r>
      <w:r w:rsidR="00E24B9C">
        <w:rPr>
          <w:rFonts w:ascii="仿宋_GB2312" w:eastAsia="仿宋_GB2312" w:hAnsi="仿宋_GB2312" w:cs="仿宋_GB2312" w:hint="eastAsia"/>
          <w:color w:val="000000"/>
          <w:sz w:val="32"/>
        </w:rPr>
        <w:t>0</w:t>
      </w:r>
      <w:r>
        <w:rPr>
          <w:rFonts w:ascii="仿宋_GB2312" w:eastAsia="仿宋_GB2312" w:hAnsi="仿宋_GB2312" w:cs="仿宋_GB2312"/>
          <w:color w:val="000000"/>
          <w:sz w:val="32"/>
        </w:rPr>
        <w:t>、2018年乡镇就业引导资金项目绩效自评综述：根据年初设定的绩效目标，该项目绩效自评得分为91分。项目全年预算数为69.89万元，执行数为69.89万元，完成预算的100%。主要产出和</w:t>
      </w:r>
      <w:r>
        <w:rPr>
          <w:rFonts w:ascii="仿宋_GB2312" w:eastAsia="仿宋_GB2312" w:hAnsi="仿宋_GB2312" w:cs="仿宋_GB2312"/>
          <w:color w:val="000000"/>
          <w:sz w:val="32"/>
        </w:rPr>
        <w:lastRenderedPageBreak/>
        <w:t>效果：通过引导有条件的贫困户进行就业，增加贫困户收入，促进相关贫困家庭和个人如期脱贫。发现的问题及原因：个人主动性还不够高。下一步改进措施： 带动农民就业积极性。</w:t>
      </w:r>
    </w:p>
    <w:p w:rsidR="00AE3A77" w:rsidRDefault="00DB78E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AE3A77" w:rsidRDefault="00DB78E9">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w:t>
      </w:r>
      <w:r>
        <w:rPr>
          <w:rFonts w:ascii="仿宋_GB2312" w:eastAsia="仿宋_GB2312" w:hint="eastAsia"/>
          <w:sz w:val="32"/>
          <w:szCs w:val="32"/>
        </w:rPr>
        <w:lastRenderedPageBreak/>
        <w:t>结转和结余，也包括事业收入、经营收入、其他收入的结转和结余。</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AE3A77" w:rsidRDefault="00DB78E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w:t>
      </w:r>
      <w:r>
        <w:rPr>
          <w:rFonts w:ascii="仿宋_GB2312" w:eastAsia="仿宋_GB2312" w:hint="eastAsia"/>
          <w:sz w:val="32"/>
          <w:szCs w:val="32"/>
        </w:rPr>
        <w:lastRenderedPageBreak/>
        <w:t>邮电费、差旅费、会议费、福利费、日常维修费、专用材料及一般设备购置费、办公用房水电费、办公用房取暖费、办公用房物业管理费、公务用车运行维护费以及其他费用。</w:t>
      </w:r>
    </w:p>
    <w:p w:rsidR="00AE3A77" w:rsidRDefault="00DB78E9">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201（类）10（款）50（项）指：事业运行。208（类）99（款）01（项）指：其他社会保障和就业支出。213（类）01（款）35（项）指：农业资源保护修复与利用。208（类）05（款）05（项）指：机关事业单位基本养老保险缴费支出。208（类）11（款）04（项）指：残疾人康复。201（类）06（款）01（项）指：行政运行。208（类）10（款）02（项）指：老年福利。201（类）32（款）99（项）指：其他组织事务支出。201（类）11（款）99（项）指：其他纪检监察事务支出。229（类）99（款）01（项）指：其他支出。201（类）03（款）01（项）指：行政运行。201（类）34（款）99（项）指：其他统战事务支出。201（类）99（款）99（项）指：其他一般公共服务支出。213（类）01（款）04（项）指：事业运行。213（类）05（款）05（项）指：生产发展。213（类）05（款）06（项）指：社会发展。221（类）01（款）05（项）指：农村危房改造。221（类）02（款）01（项）指：住房公积金。213（类）05（款）04（项）指：农村基础设施建设。204（类）02（款）01（项）指：行政运行。213（类）01（款）24（项）指：农业组织化与产业化经营。204（类）06（款）01（项）指：行政运行。204（类）02（款）04（项）指：治安管理。208（类）02（款）03（项）指：机关服务。208（类）02（款）02（项）指：一般行政管理事务。208（类）11（款）99（项）指：其他残疾人事业支出。</w:t>
      </w:r>
      <w:r>
        <w:rPr>
          <w:rFonts w:ascii="仿宋_GB2312" w:eastAsia="仿宋_GB2312" w:hint="eastAsia"/>
          <w:sz w:val="32"/>
          <w:szCs w:val="32"/>
        </w:rPr>
        <w:lastRenderedPageBreak/>
        <w:t>220（类）01（款）01（项）指：行政运行。201（类）31（款）01（项）指：行政运行。207（类）99（款）99（项）指：其他文化体育与传媒支出。207（类）01（款）09（项）指：群众文化。</w:t>
      </w:r>
    </w:p>
    <w:p w:rsidR="00AE3A77" w:rsidRDefault="00DB78E9">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AE3A77" w:rsidRDefault="00AE3A77">
      <w:pPr>
        <w:spacing w:line="540" w:lineRule="exact"/>
        <w:ind w:firstLineChars="200" w:firstLine="643"/>
        <w:rPr>
          <w:rFonts w:ascii="仿宋_GB2312" w:eastAsia="仿宋_GB2312"/>
          <w:b/>
          <w:sz w:val="32"/>
          <w:szCs w:val="32"/>
        </w:rPr>
      </w:pPr>
    </w:p>
    <w:p w:rsidR="00AE3A77" w:rsidRDefault="00DB78E9">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AE3A77" w:rsidRDefault="00DB78E9">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AE3A77" w:rsidRDefault="00AE3A77">
      <w:pPr>
        <w:spacing w:line="540" w:lineRule="exact"/>
        <w:ind w:firstLineChars="200" w:firstLine="640"/>
        <w:rPr>
          <w:rFonts w:ascii="仿宋_GB2312" w:eastAsia="仿宋_GB2312"/>
          <w:sz w:val="32"/>
          <w:szCs w:val="32"/>
        </w:rPr>
      </w:pPr>
    </w:p>
    <w:p w:rsidR="00AE3A77" w:rsidRDefault="00AE3A77">
      <w:pPr>
        <w:spacing w:line="540" w:lineRule="exact"/>
        <w:ind w:firstLineChars="200" w:firstLine="640"/>
        <w:rPr>
          <w:rFonts w:ascii="仿宋_GB2312" w:eastAsia="仿宋_GB2312"/>
          <w:sz w:val="32"/>
          <w:szCs w:val="32"/>
        </w:rPr>
      </w:pPr>
    </w:p>
    <w:p w:rsidR="00AE3A77" w:rsidRDefault="00AE3A77">
      <w:pPr>
        <w:spacing w:line="540" w:lineRule="exact"/>
        <w:ind w:firstLineChars="200" w:firstLine="640"/>
        <w:rPr>
          <w:rFonts w:ascii="仿宋_GB2312" w:eastAsia="仿宋_GB2312"/>
          <w:sz w:val="32"/>
          <w:szCs w:val="32"/>
        </w:rPr>
      </w:pPr>
    </w:p>
    <w:p w:rsidR="00AE3A77" w:rsidRDefault="00DB78E9">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英吉沙县依格孜牙乡人民政府</w:t>
      </w:r>
    </w:p>
    <w:p w:rsidR="00AE3A77" w:rsidRDefault="00DB78E9">
      <w:pPr>
        <w:spacing w:line="540" w:lineRule="exact"/>
        <w:ind w:firstLineChars="1000" w:firstLine="3200"/>
        <w:jc w:val="center"/>
        <w:rPr>
          <w:rFonts w:ascii="仿宋_GB2312" w:eastAsia="仿宋_GB2312"/>
          <w:sz w:val="32"/>
          <w:szCs w:val="32"/>
        </w:rPr>
        <w:sectPr w:rsidR="00AE3A77">
          <w:footerReference w:type="even" r:id="rId7"/>
          <w:footerReference w:type="default" r:id="rId8"/>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2019年8月15日</w:t>
      </w:r>
    </w:p>
    <w:p w:rsidR="00AE3A77" w:rsidRDefault="00AE3A77">
      <w:pPr>
        <w:spacing w:line="540" w:lineRule="exact"/>
        <w:ind w:firstLineChars="200" w:firstLine="640"/>
        <w:rPr>
          <w:rFonts w:ascii="仿宋_GB2312" w:eastAsia="仿宋_GB2312"/>
          <w:sz w:val="32"/>
          <w:szCs w:val="32"/>
        </w:rPr>
        <w:sectPr w:rsidR="00AE3A77">
          <w:footerReference w:type="even" r:id="rId9"/>
          <w:footerReference w:type="default" r:id="rId10"/>
          <w:pgSz w:w="11906" w:h="16838"/>
          <w:pgMar w:top="2041" w:right="1276" w:bottom="2041" w:left="1276" w:header="851" w:footer="1814" w:gutter="0"/>
          <w:pgNumType w:fmt="numberInDash"/>
          <w:cols w:space="425"/>
          <w:docGrid w:type="lines" w:linePitch="435" w:charSpace="-1675"/>
        </w:sectPr>
      </w:pPr>
    </w:p>
    <w:p w:rsidR="00AE3A77" w:rsidRDefault="00AE3A77">
      <w:pPr>
        <w:spacing w:line="540" w:lineRule="exact"/>
        <w:rPr>
          <w:rFonts w:ascii="仿宋_GB2312" w:eastAsia="仿宋_GB2312"/>
          <w:sz w:val="32"/>
          <w:szCs w:val="32"/>
        </w:rPr>
      </w:pPr>
    </w:p>
    <w:sectPr w:rsidR="00AE3A77" w:rsidSect="001639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994" w:rsidRDefault="00C55994">
      <w:r>
        <w:separator/>
      </w:r>
    </w:p>
  </w:endnote>
  <w:endnote w:type="continuationSeparator" w:id="1">
    <w:p w:rsidR="00C55994" w:rsidRDefault="00C559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77" w:rsidRDefault="00163913">
    <w:pPr>
      <w:pStyle w:val="a6"/>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sidR="00DB78E9">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sidR="00DB78E9">
      <w:rPr>
        <w:rStyle w:val="a8"/>
        <w:rFonts w:ascii="宋体" w:eastAsia="宋体" w:hAnsi="宋体"/>
        <w:sz w:val="28"/>
        <w:szCs w:val="28"/>
      </w:rPr>
      <w:t>- 12 -</w:t>
    </w:r>
    <w:r>
      <w:rPr>
        <w:rStyle w:val="a8"/>
        <w:rFonts w:ascii="宋体" w:eastAsia="宋体" w:hAnsi="宋体"/>
        <w:sz w:val="28"/>
        <w:szCs w:val="28"/>
      </w:rPr>
      <w:fldChar w:fldCharType="end"/>
    </w:r>
  </w:p>
  <w:p w:rsidR="00AE3A77" w:rsidRDefault="00AE3A77">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77" w:rsidRDefault="00163913">
    <w:pPr>
      <w:pStyle w:val="a6"/>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sidR="00DB78E9">
      <w:rPr>
        <w:rStyle w:val="a8"/>
        <w:rFonts w:ascii="宋体" w:eastAsia="宋体" w:hAnsi="宋体"/>
        <w:sz w:val="28"/>
      </w:rPr>
      <w:instrText xml:space="preserve"> PAGE </w:instrText>
    </w:r>
    <w:r>
      <w:rPr>
        <w:rStyle w:val="a8"/>
        <w:rFonts w:ascii="宋体" w:eastAsia="宋体" w:hAnsi="宋体"/>
        <w:sz w:val="28"/>
      </w:rPr>
      <w:fldChar w:fldCharType="separate"/>
    </w:r>
    <w:r w:rsidR="00E24B9C">
      <w:rPr>
        <w:rStyle w:val="a8"/>
        <w:rFonts w:ascii="宋体" w:eastAsia="宋体" w:hAnsi="宋体"/>
        <w:noProof/>
        <w:sz w:val="28"/>
      </w:rPr>
      <w:t>- 12 -</w:t>
    </w:r>
    <w:r>
      <w:rPr>
        <w:rStyle w:val="a8"/>
        <w:rFonts w:ascii="宋体" w:eastAsia="宋体" w:hAnsi="宋体"/>
        <w:sz w:val="28"/>
      </w:rPr>
      <w:fldChar w:fldCharType="end"/>
    </w:r>
    <w:r w:rsidR="00DB78E9">
      <w:rPr>
        <w:rStyle w:val="a8"/>
        <w:rFonts w:ascii="宋体" w:eastAsia="宋体" w:hAnsi="宋体" w:hint="eastAsia"/>
        <w:sz w:val="28"/>
      </w:rPr>
      <w:t xml:space="preserve"> </w:t>
    </w:r>
  </w:p>
  <w:p w:rsidR="00AE3A77" w:rsidRDefault="00AE3A77">
    <w:pPr>
      <w:pStyle w:val="a6"/>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77" w:rsidRDefault="00163913">
    <w:pPr>
      <w:pStyle w:val="a6"/>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sidR="00DB78E9">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sidR="00DB78E9">
      <w:rPr>
        <w:rStyle w:val="a8"/>
        <w:rFonts w:ascii="宋体" w:eastAsia="宋体" w:hAnsi="宋体"/>
        <w:sz w:val="28"/>
        <w:szCs w:val="28"/>
      </w:rPr>
      <w:t>- 12 -</w:t>
    </w:r>
    <w:r>
      <w:rPr>
        <w:rStyle w:val="a8"/>
        <w:rFonts w:ascii="宋体" w:eastAsia="宋体" w:hAnsi="宋体"/>
        <w:sz w:val="28"/>
        <w:szCs w:val="28"/>
      </w:rPr>
      <w:fldChar w:fldCharType="end"/>
    </w:r>
  </w:p>
  <w:p w:rsidR="00AE3A77" w:rsidRDefault="00AE3A77">
    <w:pPr>
      <w:pStyle w:val="a6"/>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77" w:rsidRDefault="00163913">
    <w:pPr>
      <w:pStyle w:val="a6"/>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sidR="00DB78E9">
      <w:rPr>
        <w:rStyle w:val="a8"/>
        <w:rFonts w:ascii="宋体" w:eastAsia="宋体" w:hAnsi="宋体"/>
        <w:sz w:val="28"/>
      </w:rPr>
      <w:instrText xml:space="preserve"> PAGE </w:instrText>
    </w:r>
    <w:r>
      <w:rPr>
        <w:rStyle w:val="a8"/>
        <w:rFonts w:ascii="宋体" w:eastAsia="宋体" w:hAnsi="宋体"/>
        <w:sz w:val="28"/>
      </w:rPr>
      <w:fldChar w:fldCharType="separate"/>
    </w:r>
    <w:r w:rsidR="00E24B9C">
      <w:rPr>
        <w:rStyle w:val="a8"/>
        <w:rFonts w:ascii="宋体" w:eastAsia="宋体" w:hAnsi="宋体"/>
        <w:noProof/>
        <w:sz w:val="28"/>
      </w:rPr>
      <w:t>21</w:t>
    </w:r>
    <w:r>
      <w:rPr>
        <w:rStyle w:val="a8"/>
        <w:rFonts w:ascii="宋体" w:eastAsia="宋体" w:hAnsi="宋体"/>
        <w:sz w:val="28"/>
      </w:rPr>
      <w:fldChar w:fldCharType="end"/>
    </w:r>
    <w:r w:rsidR="00DB78E9">
      <w:rPr>
        <w:rStyle w:val="a8"/>
        <w:rFonts w:ascii="宋体" w:eastAsia="宋体" w:hAnsi="宋体" w:hint="eastAsia"/>
        <w:sz w:val="28"/>
      </w:rPr>
      <w:t xml:space="preserve"> </w:t>
    </w:r>
  </w:p>
  <w:p w:rsidR="00AE3A77" w:rsidRDefault="00AE3A77">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994" w:rsidRDefault="00C55994">
      <w:r>
        <w:separator/>
      </w:r>
    </w:p>
  </w:footnote>
  <w:footnote w:type="continuationSeparator" w:id="1">
    <w:p w:rsidR="00C55994" w:rsidRDefault="00C559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3913"/>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3A77"/>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B7F7D"/>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55994"/>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B78E9"/>
    <w:rsid w:val="00DC19E1"/>
    <w:rsid w:val="00DC25CF"/>
    <w:rsid w:val="00DC65F7"/>
    <w:rsid w:val="00DF32E5"/>
    <w:rsid w:val="00DF3EFD"/>
    <w:rsid w:val="00E07FDF"/>
    <w:rsid w:val="00E14EDE"/>
    <w:rsid w:val="00E242B2"/>
    <w:rsid w:val="00E24B9C"/>
    <w:rsid w:val="00E31696"/>
    <w:rsid w:val="00E33E4C"/>
    <w:rsid w:val="00E44960"/>
    <w:rsid w:val="00E52F6A"/>
    <w:rsid w:val="00E53325"/>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9A3DC6"/>
    <w:rsid w:val="11B0398F"/>
    <w:rsid w:val="122E319F"/>
    <w:rsid w:val="13B960C5"/>
    <w:rsid w:val="152777F4"/>
    <w:rsid w:val="15C674B6"/>
    <w:rsid w:val="172461B5"/>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26116F4"/>
    <w:rsid w:val="336D0D6F"/>
    <w:rsid w:val="352E4BEC"/>
    <w:rsid w:val="37DD5594"/>
    <w:rsid w:val="38F24FA8"/>
    <w:rsid w:val="3A98342A"/>
    <w:rsid w:val="3AB6780E"/>
    <w:rsid w:val="3AD56D70"/>
    <w:rsid w:val="3B2920C2"/>
    <w:rsid w:val="3BDB1CCD"/>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175D50"/>
    <w:rsid w:val="63386392"/>
    <w:rsid w:val="63AA02E5"/>
    <w:rsid w:val="64700DE9"/>
    <w:rsid w:val="65C613BD"/>
    <w:rsid w:val="65FD118C"/>
    <w:rsid w:val="682C3D89"/>
    <w:rsid w:val="68611305"/>
    <w:rsid w:val="6A162DE0"/>
    <w:rsid w:val="6A331428"/>
    <w:rsid w:val="6B2E5CB6"/>
    <w:rsid w:val="6B3D4886"/>
    <w:rsid w:val="6DF8675E"/>
    <w:rsid w:val="6EA80098"/>
    <w:rsid w:val="6F8D70FF"/>
    <w:rsid w:val="6FFE5011"/>
    <w:rsid w:val="70F34FCC"/>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91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63913"/>
    <w:rPr>
      <w:b/>
      <w:bCs/>
    </w:rPr>
  </w:style>
  <w:style w:type="paragraph" w:styleId="a4">
    <w:name w:val="annotation text"/>
    <w:basedOn w:val="a"/>
    <w:link w:val="Char0"/>
    <w:uiPriority w:val="99"/>
    <w:semiHidden/>
    <w:unhideWhenUsed/>
    <w:qFormat/>
    <w:rsid w:val="00163913"/>
    <w:pPr>
      <w:jc w:val="left"/>
    </w:pPr>
  </w:style>
  <w:style w:type="paragraph" w:styleId="a5">
    <w:name w:val="Balloon Text"/>
    <w:basedOn w:val="a"/>
    <w:link w:val="Char1"/>
    <w:uiPriority w:val="99"/>
    <w:semiHidden/>
    <w:unhideWhenUsed/>
    <w:qFormat/>
    <w:rsid w:val="00163913"/>
    <w:rPr>
      <w:sz w:val="18"/>
      <w:szCs w:val="18"/>
    </w:rPr>
  </w:style>
  <w:style w:type="paragraph" w:styleId="a6">
    <w:name w:val="footer"/>
    <w:basedOn w:val="a"/>
    <w:link w:val="Char2"/>
    <w:qFormat/>
    <w:rsid w:val="00163913"/>
    <w:pPr>
      <w:tabs>
        <w:tab w:val="center" w:pos="4153"/>
        <w:tab w:val="right" w:pos="8306"/>
      </w:tabs>
      <w:snapToGrid w:val="0"/>
      <w:jc w:val="left"/>
    </w:pPr>
    <w:rPr>
      <w:rFonts w:eastAsia="黑体"/>
      <w:snapToGrid w:val="0"/>
      <w:kern w:val="0"/>
      <w:sz w:val="18"/>
      <w:szCs w:val="18"/>
    </w:rPr>
  </w:style>
  <w:style w:type="paragraph" w:styleId="a7">
    <w:name w:val="header"/>
    <w:basedOn w:val="a"/>
    <w:link w:val="Char3"/>
    <w:uiPriority w:val="99"/>
    <w:unhideWhenUsed/>
    <w:qFormat/>
    <w:rsid w:val="00163913"/>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163913"/>
  </w:style>
  <w:style w:type="character" w:styleId="a9">
    <w:name w:val="annotation reference"/>
    <w:basedOn w:val="a0"/>
    <w:uiPriority w:val="99"/>
    <w:semiHidden/>
    <w:unhideWhenUsed/>
    <w:qFormat/>
    <w:rsid w:val="00163913"/>
    <w:rPr>
      <w:sz w:val="21"/>
      <w:szCs w:val="21"/>
    </w:rPr>
  </w:style>
  <w:style w:type="character" w:customStyle="1" w:styleId="Char2">
    <w:name w:val="页脚 Char"/>
    <w:basedOn w:val="a0"/>
    <w:link w:val="a6"/>
    <w:qFormat/>
    <w:rsid w:val="00163913"/>
    <w:rPr>
      <w:rFonts w:ascii="Times New Roman" w:eastAsia="黑体" w:hAnsi="Times New Roman" w:cs="Times New Roman"/>
      <w:snapToGrid w:val="0"/>
      <w:kern w:val="0"/>
      <w:sz w:val="18"/>
      <w:szCs w:val="18"/>
    </w:rPr>
  </w:style>
  <w:style w:type="character" w:customStyle="1" w:styleId="Char0">
    <w:name w:val="批注文字 Char"/>
    <w:basedOn w:val="a0"/>
    <w:link w:val="a4"/>
    <w:uiPriority w:val="99"/>
    <w:semiHidden/>
    <w:qFormat/>
    <w:rsid w:val="00163913"/>
    <w:rPr>
      <w:rFonts w:ascii="Times New Roman" w:eastAsia="宋体" w:hAnsi="Times New Roman" w:cs="Times New Roman"/>
      <w:szCs w:val="24"/>
    </w:rPr>
  </w:style>
  <w:style w:type="character" w:customStyle="1" w:styleId="Char">
    <w:name w:val="批注主题 Char"/>
    <w:basedOn w:val="Char0"/>
    <w:link w:val="a3"/>
    <w:uiPriority w:val="99"/>
    <w:semiHidden/>
    <w:qFormat/>
    <w:rsid w:val="00163913"/>
    <w:rPr>
      <w:rFonts w:ascii="Times New Roman" w:eastAsia="宋体" w:hAnsi="Times New Roman" w:cs="Times New Roman"/>
      <w:b/>
      <w:bCs/>
      <w:szCs w:val="24"/>
    </w:rPr>
  </w:style>
  <w:style w:type="character" w:customStyle="1" w:styleId="Char1">
    <w:name w:val="批注框文本 Char"/>
    <w:basedOn w:val="a0"/>
    <w:link w:val="a5"/>
    <w:uiPriority w:val="99"/>
    <w:semiHidden/>
    <w:qFormat/>
    <w:rsid w:val="00163913"/>
    <w:rPr>
      <w:rFonts w:ascii="Times New Roman" w:eastAsia="宋体" w:hAnsi="Times New Roman" w:cs="Times New Roman"/>
      <w:sz w:val="18"/>
      <w:szCs w:val="18"/>
    </w:rPr>
  </w:style>
  <w:style w:type="character" w:customStyle="1" w:styleId="Char3">
    <w:name w:val="页眉 Char"/>
    <w:basedOn w:val="a0"/>
    <w:link w:val="a7"/>
    <w:uiPriority w:val="99"/>
    <w:qFormat/>
    <w:rsid w:val="0016391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21</Pages>
  <Words>1619</Words>
  <Characters>9233</Characters>
  <Application>Microsoft Office Word</Application>
  <DocSecurity>0</DocSecurity>
  <Lines>76</Lines>
  <Paragraphs>21</Paragraphs>
  <ScaleCrop>false</ScaleCrop>
  <Company>china</Company>
  <LinksUpToDate>false</LinksUpToDate>
  <CharactersWithSpaces>10831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814</cp:revision>
  <dcterms:created xsi:type="dcterms:W3CDTF">2019-05-30T09:42:00Z</dcterms:created>
  <dcterms:modified xsi:type="dcterms:W3CDTF">2021-07-13T15:22:00Z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